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8C90F" w14:textId="26079D22" w:rsidR="004028D6" w:rsidRDefault="004028D6" w:rsidP="004F3C8A">
      <w:pPr>
        <w:pStyle w:val="Heading2"/>
        <w:jc w:val="center"/>
      </w:pPr>
      <w:bookmarkStart w:id="0" w:name="_GoBack"/>
      <w:bookmarkEnd w:id="0"/>
      <w:r>
        <w:rPr>
          <w:noProof/>
          <w:lang w:val="en-AU" w:eastAsia="en-AU"/>
        </w:rPr>
        <w:drawing>
          <wp:inline distT="0" distB="0" distL="0" distR="0" wp14:anchorId="59C99CA2" wp14:editId="7544613E">
            <wp:extent cx="1564001" cy="15489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BOB-Official-Logo-SM.png"/>
                    <pic:cNvPicPr/>
                  </pic:nvPicPr>
                  <pic:blipFill>
                    <a:blip r:embed="rId8">
                      <a:extLst>
                        <a:ext uri="{28A0092B-C50C-407E-A947-70E740481C1C}">
                          <a14:useLocalDpi xmlns:a14="http://schemas.microsoft.com/office/drawing/2010/main" val="0"/>
                        </a:ext>
                      </a:extLst>
                    </a:blip>
                    <a:stretch>
                      <a:fillRect/>
                    </a:stretch>
                  </pic:blipFill>
                  <pic:spPr>
                    <a:xfrm>
                      <a:off x="0" y="0"/>
                      <a:ext cx="1584022" cy="1568791"/>
                    </a:xfrm>
                    <a:prstGeom prst="rect">
                      <a:avLst/>
                    </a:prstGeom>
                  </pic:spPr>
                </pic:pic>
              </a:graphicData>
            </a:graphic>
          </wp:inline>
        </w:drawing>
      </w:r>
    </w:p>
    <w:p w14:paraId="0D23EFBB" w14:textId="77777777" w:rsidR="000F331F" w:rsidRPr="000F331F" w:rsidRDefault="000F331F" w:rsidP="000F331F">
      <w:pPr>
        <w:rPr>
          <w:lang w:val="en-US"/>
        </w:rPr>
      </w:pPr>
    </w:p>
    <w:p w14:paraId="1969FCD5" w14:textId="674A3CB3" w:rsidR="004028D6" w:rsidRPr="004028D6" w:rsidRDefault="000F331F" w:rsidP="004028D6">
      <w:pPr>
        <w:pStyle w:val="Heading1"/>
        <w:jc w:val="center"/>
        <w:rPr>
          <w:b/>
        </w:rPr>
      </w:pPr>
      <w:r>
        <w:rPr>
          <w:b/>
          <w:lang w:val="en-US"/>
        </w:rPr>
        <w:t xml:space="preserve">Bahamian </w:t>
      </w:r>
      <w:r w:rsidR="004028D6" w:rsidRPr="004028D6">
        <w:rPr>
          <w:b/>
        </w:rPr>
        <w:t>Financial Resilience Post-Natural Disasters</w:t>
      </w:r>
    </w:p>
    <w:p w14:paraId="0B183B1E" w14:textId="3BA09995" w:rsidR="004028D6" w:rsidRDefault="004028D6" w:rsidP="004028D6">
      <w:pPr>
        <w:jc w:val="center"/>
        <w:rPr>
          <w:lang w:val="en-US"/>
        </w:rPr>
      </w:pPr>
    </w:p>
    <w:p w14:paraId="1B30BF00" w14:textId="712FEF38" w:rsidR="004028D6" w:rsidRPr="000F331F" w:rsidRDefault="004028D6" w:rsidP="004028D6">
      <w:pPr>
        <w:spacing w:after="0"/>
        <w:jc w:val="center"/>
        <w:rPr>
          <w:sz w:val="24"/>
          <w:szCs w:val="24"/>
          <w:lang w:val="en-US"/>
        </w:rPr>
      </w:pPr>
      <w:r w:rsidRPr="000F331F">
        <w:rPr>
          <w:sz w:val="24"/>
          <w:szCs w:val="24"/>
          <w:lang w:val="en-US"/>
        </w:rPr>
        <w:t>John Rolle Governor*</w:t>
      </w:r>
    </w:p>
    <w:p w14:paraId="56F92C88" w14:textId="1E39E8A0" w:rsidR="004028D6" w:rsidRPr="000F331F" w:rsidRDefault="004028D6" w:rsidP="004028D6">
      <w:pPr>
        <w:spacing w:after="0"/>
        <w:jc w:val="center"/>
        <w:rPr>
          <w:sz w:val="24"/>
          <w:szCs w:val="24"/>
          <w:lang w:val="en-US"/>
        </w:rPr>
      </w:pPr>
      <w:r w:rsidRPr="000F331F">
        <w:rPr>
          <w:sz w:val="24"/>
          <w:szCs w:val="24"/>
          <w:lang w:val="en-US"/>
        </w:rPr>
        <w:t>*As prepared for Delivery.</w:t>
      </w:r>
    </w:p>
    <w:p w14:paraId="2E9DFBD2" w14:textId="77777777" w:rsidR="004028D6" w:rsidRPr="000F331F" w:rsidRDefault="004028D6" w:rsidP="004028D6">
      <w:pPr>
        <w:spacing w:after="0"/>
        <w:rPr>
          <w:sz w:val="24"/>
          <w:szCs w:val="24"/>
          <w:lang w:val="en-US"/>
        </w:rPr>
      </w:pPr>
    </w:p>
    <w:p w14:paraId="5794A335" w14:textId="592C5233" w:rsidR="004028D6" w:rsidRDefault="004028D6" w:rsidP="00D34A59">
      <w:pPr>
        <w:spacing w:after="0"/>
        <w:jc w:val="center"/>
        <w:rPr>
          <w:sz w:val="24"/>
          <w:szCs w:val="24"/>
          <w:lang w:val="en-US"/>
        </w:rPr>
      </w:pPr>
      <w:r w:rsidRPr="000F331F">
        <w:rPr>
          <w:sz w:val="24"/>
          <w:szCs w:val="24"/>
          <w:lang w:val="en-US"/>
        </w:rPr>
        <w:t>Exuma Business Outlook</w:t>
      </w:r>
    </w:p>
    <w:p w14:paraId="7EFD1DF8" w14:textId="6A321518" w:rsidR="00D34A59" w:rsidRPr="000F331F" w:rsidRDefault="000F331F" w:rsidP="00D34A59">
      <w:pPr>
        <w:spacing w:after="0"/>
        <w:jc w:val="center"/>
        <w:rPr>
          <w:sz w:val="24"/>
          <w:szCs w:val="24"/>
          <w:lang w:val="en-US"/>
        </w:rPr>
      </w:pPr>
      <w:r>
        <w:rPr>
          <w:sz w:val="24"/>
          <w:szCs w:val="24"/>
          <w:lang w:val="en-US"/>
        </w:rPr>
        <w:t>Sandals Resort, Exuma, Bahamas</w:t>
      </w:r>
    </w:p>
    <w:p w14:paraId="23A40884" w14:textId="539C5D7E" w:rsidR="00D34A59" w:rsidRPr="004028D6" w:rsidRDefault="000F331F" w:rsidP="00D34A59">
      <w:pPr>
        <w:spacing w:after="0"/>
        <w:jc w:val="center"/>
        <w:rPr>
          <w:lang w:val="en-US"/>
        </w:rPr>
      </w:pPr>
      <w:r w:rsidRPr="000F331F">
        <w:rPr>
          <w:sz w:val="24"/>
          <w:szCs w:val="24"/>
          <w:lang w:val="en-US"/>
        </w:rPr>
        <w:t>24</w:t>
      </w:r>
      <w:r>
        <w:rPr>
          <w:sz w:val="24"/>
          <w:szCs w:val="24"/>
          <w:lang w:val="en-US"/>
        </w:rPr>
        <w:t>th</w:t>
      </w:r>
      <w:r w:rsidRPr="000F331F">
        <w:rPr>
          <w:sz w:val="24"/>
          <w:szCs w:val="24"/>
          <w:lang w:val="en-US"/>
        </w:rPr>
        <w:t xml:space="preserve"> October 2019</w:t>
      </w:r>
    </w:p>
    <w:p w14:paraId="71F40861" w14:textId="1364B46A" w:rsidR="004028D6" w:rsidRPr="000F331F" w:rsidRDefault="004028D6" w:rsidP="000F331F">
      <w:pPr>
        <w:pStyle w:val="Heading2"/>
      </w:pPr>
      <w:r w:rsidRPr="000F331F">
        <w:t>Introduction</w:t>
      </w:r>
    </w:p>
    <w:p w14:paraId="07F1AF24" w14:textId="408FD902" w:rsidR="0063018C" w:rsidRDefault="00F55B74" w:rsidP="00B4523E">
      <w:pPr>
        <w:spacing w:line="360" w:lineRule="auto"/>
        <w:jc w:val="both"/>
        <w:rPr>
          <w:rFonts w:ascii="Book Antiqua" w:hAnsi="Book Antiqua" w:cs="Times New Roman"/>
          <w:sz w:val="24"/>
          <w:szCs w:val="24"/>
          <w:lang w:val="en-US"/>
        </w:rPr>
      </w:pPr>
      <w:r w:rsidRPr="00CD5C49">
        <w:rPr>
          <w:rFonts w:ascii="Book Antiqua" w:hAnsi="Book Antiqua" w:cs="Times New Roman"/>
          <w:sz w:val="24"/>
          <w:szCs w:val="24"/>
          <w:lang w:val="en-US"/>
        </w:rPr>
        <w:t xml:space="preserve">It is </w:t>
      </w:r>
      <w:r w:rsidR="00CD5C49">
        <w:rPr>
          <w:rFonts w:ascii="Book Antiqua" w:hAnsi="Book Antiqua" w:cs="Times New Roman"/>
          <w:sz w:val="24"/>
          <w:szCs w:val="24"/>
          <w:lang w:val="en-US"/>
        </w:rPr>
        <w:t xml:space="preserve">always a </w:t>
      </w:r>
      <w:r w:rsidRPr="00CD5C49">
        <w:rPr>
          <w:rFonts w:ascii="Book Antiqua" w:hAnsi="Book Antiqua" w:cs="Times New Roman"/>
          <w:sz w:val="24"/>
          <w:szCs w:val="24"/>
          <w:lang w:val="en-US"/>
        </w:rPr>
        <w:t xml:space="preserve">pleasure to speak at the Exuma </w:t>
      </w:r>
      <w:r w:rsidR="00CD5C49">
        <w:rPr>
          <w:rFonts w:ascii="Book Antiqua" w:hAnsi="Book Antiqua" w:cs="Times New Roman"/>
          <w:sz w:val="24"/>
          <w:szCs w:val="24"/>
          <w:lang w:val="en-US"/>
        </w:rPr>
        <w:t xml:space="preserve">Business </w:t>
      </w:r>
      <w:r w:rsidRPr="00CD5C49">
        <w:rPr>
          <w:rFonts w:ascii="Book Antiqua" w:hAnsi="Book Antiqua" w:cs="Times New Roman"/>
          <w:sz w:val="24"/>
          <w:szCs w:val="24"/>
          <w:lang w:val="en-US"/>
        </w:rPr>
        <w:t>Outlook</w:t>
      </w:r>
      <w:r w:rsidR="00CD5C49">
        <w:rPr>
          <w:rFonts w:ascii="Book Antiqua" w:hAnsi="Book Antiqua" w:cs="Times New Roman"/>
          <w:sz w:val="24"/>
          <w:szCs w:val="24"/>
          <w:lang w:val="en-US"/>
        </w:rPr>
        <w:t>.  This is happening at a time of incre</w:t>
      </w:r>
      <w:r w:rsidR="0063018C">
        <w:rPr>
          <w:rFonts w:ascii="Book Antiqua" w:hAnsi="Book Antiqua" w:cs="Times New Roman"/>
          <w:sz w:val="24"/>
          <w:szCs w:val="24"/>
          <w:lang w:val="en-US"/>
        </w:rPr>
        <w:t xml:space="preserve">dible change within our economy. </w:t>
      </w:r>
      <w:r w:rsidR="00CD5C49">
        <w:rPr>
          <w:rFonts w:ascii="Book Antiqua" w:hAnsi="Book Antiqua" w:cs="Times New Roman"/>
          <w:sz w:val="24"/>
          <w:szCs w:val="24"/>
          <w:lang w:val="en-US"/>
        </w:rPr>
        <w:t xml:space="preserve"> </w:t>
      </w:r>
      <w:r w:rsidR="0063018C">
        <w:rPr>
          <w:rFonts w:ascii="Book Antiqua" w:hAnsi="Book Antiqua" w:cs="Times New Roman"/>
          <w:sz w:val="24"/>
          <w:szCs w:val="24"/>
          <w:lang w:val="en-US"/>
        </w:rPr>
        <w:t>W</w:t>
      </w:r>
      <w:r w:rsidR="00CD5C49">
        <w:rPr>
          <w:rFonts w:ascii="Book Antiqua" w:hAnsi="Book Antiqua" w:cs="Times New Roman"/>
          <w:sz w:val="24"/>
          <w:szCs w:val="24"/>
          <w:lang w:val="en-US"/>
        </w:rPr>
        <w:t xml:space="preserve">e are paying more attention to the immediate and long-term needs for planning and development around financial and economic resiliency; and on </w:t>
      </w:r>
      <w:r w:rsidR="0027212E">
        <w:rPr>
          <w:rFonts w:ascii="Book Antiqua" w:hAnsi="Book Antiqua" w:cs="Times New Roman"/>
          <w:sz w:val="24"/>
          <w:szCs w:val="24"/>
          <w:lang w:val="en-US"/>
        </w:rPr>
        <w:t>leveling</w:t>
      </w:r>
      <w:r w:rsidR="00CD5C49">
        <w:rPr>
          <w:rFonts w:ascii="Book Antiqua" w:hAnsi="Book Antiqua" w:cs="Times New Roman"/>
          <w:sz w:val="24"/>
          <w:szCs w:val="24"/>
          <w:lang w:val="en-US"/>
        </w:rPr>
        <w:t xml:space="preserve"> the playing field of access for commercial goods and services. Post-Hurricane Dorian we are now more focused on strategies for financial resiliency for households, businesses and the public sector; and we are preoccupied with business continuity and recovery at the national level for critical financial services.  </w:t>
      </w:r>
    </w:p>
    <w:p w14:paraId="7047A589" w14:textId="2706C2B2" w:rsidR="00F55B74" w:rsidRPr="00CD5C49" w:rsidRDefault="00CD5C49" w:rsidP="00B4523E">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 xml:space="preserve">The take away from my presentation is that alongside the </w:t>
      </w:r>
      <w:r w:rsidRPr="00D00B81">
        <w:rPr>
          <w:rFonts w:ascii="Book Antiqua" w:hAnsi="Book Antiqua" w:cs="Times New Roman"/>
          <w:sz w:val="24"/>
          <w:szCs w:val="24"/>
          <w:lang w:val="en-US"/>
        </w:rPr>
        <w:t>interventions</w:t>
      </w:r>
      <w:r>
        <w:rPr>
          <w:rFonts w:ascii="Book Antiqua" w:hAnsi="Book Antiqua" w:cs="Times New Roman"/>
          <w:sz w:val="24"/>
          <w:szCs w:val="24"/>
          <w:lang w:val="en-US"/>
        </w:rPr>
        <w:t xml:space="preserve"> which </w:t>
      </w:r>
      <w:r w:rsidR="00CB1E8C">
        <w:rPr>
          <w:rFonts w:ascii="Book Antiqua" w:hAnsi="Book Antiqua" w:cs="Times New Roman"/>
          <w:sz w:val="24"/>
          <w:szCs w:val="24"/>
          <w:lang w:val="en-US"/>
        </w:rPr>
        <w:t>the Central Bank</w:t>
      </w:r>
      <w:r>
        <w:rPr>
          <w:rFonts w:ascii="Book Antiqua" w:hAnsi="Book Antiqua" w:cs="Times New Roman"/>
          <w:sz w:val="24"/>
          <w:szCs w:val="24"/>
          <w:lang w:val="en-US"/>
        </w:rPr>
        <w:t xml:space="preserve"> </w:t>
      </w:r>
      <w:r w:rsidR="0063018C">
        <w:rPr>
          <w:rFonts w:ascii="Book Antiqua" w:hAnsi="Book Antiqua" w:cs="Times New Roman"/>
          <w:sz w:val="24"/>
          <w:szCs w:val="24"/>
          <w:lang w:val="en-US"/>
        </w:rPr>
        <w:t>intend</w:t>
      </w:r>
      <w:r w:rsidR="00CB1E8C">
        <w:rPr>
          <w:rFonts w:ascii="Book Antiqua" w:hAnsi="Book Antiqua" w:cs="Times New Roman"/>
          <w:sz w:val="24"/>
          <w:szCs w:val="24"/>
          <w:lang w:val="en-US"/>
        </w:rPr>
        <w:t>s</w:t>
      </w:r>
      <w:r w:rsidR="0063018C">
        <w:rPr>
          <w:rFonts w:ascii="Book Antiqua" w:hAnsi="Book Antiqua" w:cs="Times New Roman"/>
          <w:sz w:val="24"/>
          <w:szCs w:val="24"/>
          <w:lang w:val="en-US"/>
        </w:rPr>
        <w:t xml:space="preserve"> to</w:t>
      </w:r>
      <w:r>
        <w:rPr>
          <w:rFonts w:ascii="Book Antiqua" w:hAnsi="Book Antiqua" w:cs="Times New Roman"/>
          <w:sz w:val="24"/>
          <w:szCs w:val="24"/>
          <w:lang w:val="en-US"/>
        </w:rPr>
        <w:t xml:space="preserve"> make to increase the preparedness of the banking and payments system, serious </w:t>
      </w:r>
      <w:r w:rsidRPr="00D00B81">
        <w:rPr>
          <w:rFonts w:ascii="Book Antiqua" w:hAnsi="Book Antiqua" w:cs="Times New Roman"/>
          <w:sz w:val="24"/>
          <w:szCs w:val="24"/>
          <w:lang w:val="en-US"/>
        </w:rPr>
        <w:t>interventions</w:t>
      </w:r>
      <w:r>
        <w:rPr>
          <w:rFonts w:ascii="Book Antiqua" w:hAnsi="Book Antiqua" w:cs="Times New Roman"/>
          <w:sz w:val="24"/>
          <w:szCs w:val="24"/>
          <w:lang w:val="en-US"/>
        </w:rPr>
        <w:t xml:space="preserve"> will</w:t>
      </w:r>
      <w:r w:rsidR="0063018C">
        <w:rPr>
          <w:rFonts w:ascii="Book Antiqua" w:hAnsi="Book Antiqua" w:cs="Times New Roman"/>
          <w:sz w:val="24"/>
          <w:szCs w:val="24"/>
          <w:lang w:val="en-US"/>
        </w:rPr>
        <w:t xml:space="preserve"> also</w:t>
      </w:r>
      <w:r>
        <w:rPr>
          <w:rFonts w:ascii="Book Antiqua" w:hAnsi="Book Antiqua" w:cs="Times New Roman"/>
          <w:sz w:val="24"/>
          <w:szCs w:val="24"/>
          <w:lang w:val="en-US"/>
        </w:rPr>
        <w:t xml:space="preserve"> be need</w:t>
      </w:r>
      <w:r w:rsidR="0090058F">
        <w:rPr>
          <w:rFonts w:ascii="Book Antiqua" w:hAnsi="Book Antiqua" w:cs="Times New Roman"/>
          <w:sz w:val="24"/>
          <w:szCs w:val="24"/>
          <w:lang w:val="en-US"/>
        </w:rPr>
        <w:t>ed</w:t>
      </w:r>
      <w:r>
        <w:rPr>
          <w:rFonts w:ascii="Book Antiqua" w:hAnsi="Book Antiqua" w:cs="Times New Roman"/>
          <w:sz w:val="24"/>
          <w:szCs w:val="24"/>
          <w:lang w:val="en-US"/>
        </w:rPr>
        <w:t xml:space="preserve"> from a policy and cultural perspective to tackle the household sector’s financial vulnerability</w:t>
      </w:r>
      <w:r w:rsidR="0063018C">
        <w:rPr>
          <w:rFonts w:ascii="Book Antiqua" w:hAnsi="Book Antiqua" w:cs="Times New Roman"/>
          <w:sz w:val="24"/>
          <w:szCs w:val="24"/>
          <w:lang w:val="en-US"/>
        </w:rPr>
        <w:t xml:space="preserve">. </w:t>
      </w:r>
      <w:r w:rsidR="002110E1">
        <w:rPr>
          <w:rFonts w:ascii="Book Antiqua" w:hAnsi="Book Antiqua" w:cs="Times New Roman"/>
          <w:sz w:val="24"/>
          <w:szCs w:val="24"/>
          <w:lang w:val="en-US"/>
        </w:rPr>
        <w:t>C</w:t>
      </w:r>
      <w:r>
        <w:rPr>
          <w:rFonts w:ascii="Book Antiqua" w:hAnsi="Book Antiqua" w:cs="Times New Roman"/>
          <w:sz w:val="24"/>
          <w:szCs w:val="24"/>
          <w:lang w:val="en-US"/>
        </w:rPr>
        <w:t xml:space="preserve">ritical evolution is </w:t>
      </w:r>
      <w:r w:rsidR="002110E1">
        <w:rPr>
          <w:rFonts w:ascii="Book Antiqua" w:hAnsi="Book Antiqua" w:cs="Times New Roman"/>
          <w:sz w:val="24"/>
          <w:szCs w:val="24"/>
          <w:lang w:val="en-US"/>
        </w:rPr>
        <w:t xml:space="preserve">also </w:t>
      </w:r>
      <w:r w:rsidR="0090058F">
        <w:rPr>
          <w:rFonts w:ascii="Book Antiqua" w:hAnsi="Book Antiqua" w:cs="Times New Roman"/>
          <w:sz w:val="24"/>
          <w:szCs w:val="24"/>
          <w:lang w:val="en-US"/>
        </w:rPr>
        <w:t>required</w:t>
      </w:r>
      <w:r>
        <w:rPr>
          <w:rFonts w:ascii="Book Antiqua" w:hAnsi="Book Antiqua" w:cs="Times New Roman"/>
          <w:sz w:val="24"/>
          <w:szCs w:val="24"/>
          <w:lang w:val="en-US"/>
        </w:rPr>
        <w:t xml:space="preserve"> in our tourism product model to make </w:t>
      </w:r>
      <w:r w:rsidR="0063018C">
        <w:rPr>
          <w:rFonts w:ascii="Book Antiqua" w:hAnsi="Book Antiqua" w:cs="Times New Roman"/>
          <w:sz w:val="24"/>
          <w:szCs w:val="24"/>
          <w:lang w:val="en-US"/>
        </w:rPr>
        <w:t xml:space="preserve">this leading </w:t>
      </w:r>
      <w:r>
        <w:rPr>
          <w:rFonts w:ascii="Book Antiqua" w:hAnsi="Book Antiqua" w:cs="Times New Roman"/>
          <w:sz w:val="24"/>
          <w:szCs w:val="24"/>
          <w:lang w:val="en-US"/>
        </w:rPr>
        <w:t xml:space="preserve">foreign exchange </w:t>
      </w:r>
      <w:r w:rsidR="0063018C">
        <w:rPr>
          <w:rFonts w:ascii="Book Antiqua" w:hAnsi="Book Antiqua" w:cs="Times New Roman"/>
          <w:sz w:val="24"/>
          <w:szCs w:val="24"/>
          <w:lang w:val="en-US"/>
        </w:rPr>
        <w:t xml:space="preserve">earner </w:t>
      </w:r>
      <w:r w:rsidR="00A34751">
        <w:rPr>
          <w:rFonts w:ascii="Book Antiqua" w:hAnsi="Book Antiqua" w:cs="Times New Roman"/>
          <w:sz w:val="24"/>
          <w:szCs w:val="24"/>
          <w:lang w:val="en-US"/>
        </w:rPr>
        <w:t xml:space="preserve">more </w:t>
      </w:r>
      <w:r>
        <w:rPr>
          <w:rFonts w:ascii="Book Antiqua" w:hAnsi="Book Antiqua" w:cs="Times New Roman"/>
          <w:sz w:val="24"/>
          <w:szCs w:val="24"/>
          <w:lang w:val="en-US"/>
        </w:rPr>
        <w:t>resilient.</w:t>
      </w:r>
    </w:p>
    <w:p w14:paraId="06171AED" w14:textId="39B49FC5" w:rsidR="00CD5C49" w:rsidRPr="00CD5C49" w:rsidRDefault="0090058F" w:rsidP="00B4523E">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lastRenderedPageBreak/>
        <w:t>T</w:t>
      </w:r>
      <w:r w:rsidR="00986D15">
        <w:rPr>
          <w:rFonts w:ascii="Book Antiqua" w:hAnsi="Book Antiqua" w:cs="Times New Roman"/>
          <w:sz w:val="24"/>
          <w:szCs w:val="24"/>
          <w:lang w:val="en-US"/>
        </w:rPr>
        <w:t>he Central Bank</w:t>
      </w:r>
      <w:r>
        <w:rPr>
          <w:rFonts w:ascii="Book Antiqua" w:hAnsi="Book Antiqua" w:cs="Times New Roman"/>
          <w:sz w:val="24"/>
          <w:szCs w:val="24"/>
          <w:lang w:val="en-US"/>
        </w:rPr>
        <w:t xml:space="preserve"> </w:t>
      </w:r>
      <w:r w:rsidR="00986D15">
        <w:rPr>
          <w:rFonts w:ascii="Book Antiqua" w:hAnsi="Book Antiqua" w:cs="Times New Roman"/>
          <w:sz w:val="24"/>
          <w:szCs w:val="24"/>
          <w:lang w:val="en-US"/>
        </w:rPr>
        <w:t xml:space="preserve">will continue to take a progressive approach </w:t>
      </w:r>
      <w:r w:rsidR="00A34751">
        <w:rPr>
          <w:rFonts w:ascii="Book Antiqua" w:hAnsi="Book Antiqua" w:cs="Times New Roman"/>
          <w:sz w:val="24"/>
          <w:szCs w:val="24"/>
          <w:lang w:val="en-US"/>
        </w:rPr>
        <w:t xml:space="preserve">to </w:t>
      </w:r>
      <w:r w:rsidR="0063018C">
        <w:rPr>
          <w:rFonts w:ascii="Book Antiqua" w:hAnsi="Book Antiqua" w:cs="Times New Roman"/>
          <w:sz w:val="24"/>
          <w:szCs w:val="24"/>
          <w:lang w:val="en-US"/>
        </w:rPr>
        <w:t>identify</w:t>
      </w:r>
      <w:r w:rsidR="00A34751">
        <w:rPr>
          <w:rFonts w:ascii="Book Antiqua" w:hAnsi="Book Antiqua" w:cs="Times New Roman"/>
          <w:sz w:val="24"/>
          <w:szCs w:val="24"/>
          <w:lang w:val="en-US"/>
        </w:rPr>
        <w:t>ing</w:t>
      </w:r>
      <w:r w:rsidR="0063018C">
        <w:rPr>
          <w:rFonts w:ascii="Book Antiqua" w:hAnsi="Book Antiqua" w:cs="Times New Roman"/>
          <w:sz w:val="24"/>
          <w:szCs w:val="24"/>
          <w:lang w:val="en-US"/>
        </w:rPr>
        <w:t xml:space="preserve"> and promot</w:t>
      </w:r>
      <w:r w:rsidR="00A34751">
        <w:rPr>
          <w:rFonts w:ascii="Book Antiqua" w:hAnsi="Book Antiqua" w:cs="Times New Roman"/>
          <w:sz w:val="24"/>
          <w:szCs w:val="24"/>
          <w:lang w:val="en-US"/>
        </w:rPr>
        <w:t>ing</w:t>
      </w:r>
      <w:r w:rsidR="0063018C">
        <w:rPr>
          <w:rFonts w:ascii="Book Antiqua" w:hAnsi="Book Antiqua" w:cs="Times New Roman"/>
          <w:sz w:val="24"/>
          <w:szCs w:val="24"/>
          <w:lang w:val="en-US"/>
        </w:rPr>
        <w:t xml:space="preserve"> </w:t>
      </w:r>
      <w:r w:rsidR="00986D15">
        <w:rPr>
          <w:rFonts w:ascii="Book Antiqua" w:hAnsi="Book Antiqua" w:cs="Times New Roman"/>
          <w:sz w:val="24"/>
          <w:szCs w:val="24"/>
          <w:lang w:val="en-US"/>
        </w:rPr>
        <w:t xml:space="preserve">legal and regulatory reforms </w:t>
      </w:r>
      <w:r w:rsidR="0063018C">
        <w:rPr>
          <w:rFonts w:ascii="Book Antiqua" w:hAnsi="Book Antiqua" w:cs="Times New Roman"/>
          <w:sz w:val="24"/>
          <w:szCs w:val="24"/>
          <w:lang w:val="en-US"/>
        </w:rPr>
        <w:t xml:space="preserve">to </w:t>
      </w:r>
      <w:r w:rsidR="00986D15">
        <w:rPr>
          <w:rFonts w:ascii="Book Antiqua" w:hAnsi="Book Antiqua" w:cs="Times New Roman"/>
          <w:sz w:val="24"/>
          <w:szCs w:val="24"/>
          <w:lang w:val="en-US"/>
        </w:rPr>
        <w:t xml:space="preserve">accommodate financial sector transformation </w:t>
      </w:r>
      <w:r w:rsidR="0063018C">
        <w:rPr>
          <w:rFonts w:ascii="Book Antiqua" w:hAnsi="Book Antiqua" w:cs="Times New Roman"/>
          <w:sz w:val="24"/>
          <w:szCs w:val="24"/>
          <w:lang w:val="en-US"/>
        </w:rPr>
        <w:t xml:space="preserve">in the direction of greater </w:t>
      </w:r>
      <w:r w:rsidR="00986D15">
        <w:rPr>
          <w:rFonts w:ascii="Book Antiqua" w:hAnsi="Book Antiqua" w:cs="Times New Roman"/>
          <w:sz w:val="24"/>
          <w:szCs w:val="24"/>
          <w:lang w:val="en-US"/>
        </w:rPr>
        <w:t>resilience.</w:t>
      </w:r>
    </w:p>
    <w:p w14:paraId="4595AB23" w14:textId="07A673BB" w:rsidR="00545592" w:rsidRPr="00B4523E" w:rsidRDefault="00F71EFB" w:rsidP="000F331F">
      <w:pPr>
        <w:pStyle w:val="Heading2"/>
      </w:pPr>
      <w:r w:rsidRPr="00B4523E">
        <w:t>General Impact of Natural Disasters</w:t>
      </w:r>
    </w:p>
    <w:p w14:paraId="463F0E36" w14:textId="77777777" w:rsidR="00C60973" w:rsidRDefault="00045BA9" w:rsidP="00B4523E">
      <w:pPr>
        <w:spacing w:line="360" w:lineRule="auto"/>
        <w:jc w:val="both"/>
        <w:rPr>
          <w:rFonts w:ascii="Book Antiqua" w:hAnsi="Book Antiqua" w:cs="Times New Roman"/>
          <w:sz w:val="24"/>
          <w:szCs w:val="24"/>
          <w:lang w:val="en-US"/>
        </w:rPr>
      </w:pPr>
      <w:r w:rsidRPr="00B4523E">
        <w:rPr>
          <w:rFonts w:ascii="Book Antiqua" w:hAnsi="Book Antiqua" w:cs="Times New Roman"/>
          <w:sz w:val="24"/>
          <w:szCs w:val="24"/>
          <w:lang w:val="en-US"/>
        </w:rPr>
        <w:t xml:space="preserve">For the better part of the </w:t>
      </w:r>
      <w:r w:rsidR="00E459A9" w:rsidRPr="00B4523E">
        <w:rPr>
          <w:rFonts w:ascii="Book Antiqua" w:hAnsi="Book Antiqua" w:cs="Times New Roman"/>
          <w:sz w:val="24"/>
          <w:szCs w:val="24"/>
          <w:lang w:val="en-US"/>
        </w:rPr>
        <w:t>last</w:t>
      </w:r>
      <w:r w:rsidRPr="00B4523E">
        <w:rPr>
          <w:rFonts w:ascii="Book Antiqua" w:hAnsi="Book Antiqua" w:cs="Times New Roman"/>
          <w:sz w:val="24"/>
          <w:szCs w:val="24"/>
          <w:lang w:val="en-US"/>
        </w:rPr>
        <w:t xml:space="preserve"> two decades, The Bahamas has been </w:t>
      </w:r>
      <w:r w:rsidR="00643298" w:rsidRPr="00B4523E">
        <w:rPr>
          <w:rFonts w:ascii="Book Antiqua" w:hAnsi="Book Antiqua" w:cs="Times New Roman"/>
          <w:sz w:val="24"/>
          <w:szCs w:val="24"/>
          <w:lang w:val="en-US"/>
        </w:rPr>
        <w:t>experiencing</w:t>
      </w:r>
      <w:r w:rsidRPr="00B4523E">
        <w:rPr>
          <w:rFonts w:ascii="Book Antiqua" w:hAnsi="Book Antiqua" w:cs="Times New Roman"/>
          <w:sz w:val="24"/>
          <w:szCs w:val="24"/>
          <w:lang w:val="en-US"/>
        </w:rPr>
        <w:t xml:space="preserve"> the </w:t>
      </w:r>
      <w:r w:rsidR="00643298" w:rsidRPr="00B4523E">
        <w:rPr>
          <w:rFonts w:ascii="Book Antiqua" w:hAnsi="Book Antiqua" w:cs="Times New Roman"/>
          <w:sz w:val="24"/>
          <w:szCs w:val="24"/>
          <w:lang w:val="en-US"/>
        </w:rPr>
        <w:t xml:space="preserve">direct </w:t>
      </w:r>
      <w:r w:rsidRPr="00B4523E">
        <w:rPr>
          <w:rFonts w:ascii="Book Antiqua" w:hAnsi="Book Antiqua" w:cs="Times New Roman"/>
          <w:sz w:val="24"/>
          <w:szCs w:val="24"/>
          <w:lang w:val="en-US"/>
        </w:rPr>
        <w:t xml:space="preserve">impacts of climate change, particularly as it relates to </w:t>
      </w:r>
      <w:r w:rsidR="00CE1C27">
        <w:rPr>
          <w:rFonts w:ascii="Book Antiqua" w:hAnsi="Book Antiqua" w:cs="Times New Roman"/>
          <w:sz w:val="24"/>
          <w:szCs w:val="24"/>
          <w:lang w:val="en-US"/>
        </w:rPr>
        <w:t xml:space="preserve">the </w:t>
      </w:r>
      <w:r w:rsidR="00643298" w:rsidRPr="00B4523E">
        <w:rPr>
          <w:rFonts w:ascii="Book Antiqua" w:hAnsi="Book Antiqua" w:cs="Times New Roman"/>
          <w:sz w:val="24"/>
          <w:szCs w:val="24"/>
          <w:lang w:val="en-US"/>
        </w:rPr>
        <w:t>passage</w:t>
      </w:r>
      <w:r w:rsidRPr="00B4523E">
        <w:rPr>
          <w:rFonts w:ascii="Book Antiqua" w:hAnsi="Book Antiqua" w:cs="Times New Roman"/>
          <w:sz w:val="24"/>
          <w:szCs w:val="24"/>
          <w:lang w:val="en-US"/>
        </w:rPr>
        <w:t xml:space="preserve"> of tropical cyclones (hurricanes)</w:t>
      </w:r>
      <w:r w:rsidR="00986D15">
        <w:rPr>
          <w:rFonts w:ascii="Book Antiqua" w:hAnsi="Book Antiqua" w:cs="Times New Roman"/>
          <w:sz w:val="24"/>
          <w:szCs w:val="24"/>
          <w:lang w:val="en-US"/>
        </w:rPr>
        <w:t>.</w:t>
      </w:r>
      <w:r w:rsidRPr="00B4523E">
        <w:rPr>
          <w:rFonts w:ascii="Book Antiqua" w:hAnsi="Book Antiqua" w:cs="Times New Roman"/>
          <w:sz w:val="24"/>
          <w:szCs w:val="24"/>
          <w:lang w:val="en-US"/>
        </w:rPr>
        <w:t xml:space="preserve"> </w:t>
      </w:r>
      <w:r w:rsidR="00986D15">
        <w:rPr>
          <w:rFonts w:ascii="Book Antiqua" w:hAnsi="Book Antiqua" w:cs="Times New Roman"/>
          <w:sz w:val="24"/>
          <w:szCs w:val="24"/>
          <w:lang w:val="en-US"/>
        </w:rPr>
        <w:t xml:space="preserve">They </w:t>
      </w:r>
      <w:r w:rsidRPr="00B4523E">
        <w:rPr>
          <w:rFonts w:ascii="Book Antiqua" w:hAnsi="Book Antiqua" w:cs="Times New Roman"/>
          <w:sz w:val="24"/>
          <w:szCs w:val="24"/>
          <w:lang w:val="en-US"/>
        </w:rPr>
        <w:t xml:space="preserve">have increased in </w:t>
      </w:r>
      <w:r w:rsidR="006022D5" w:rsidRPr="00B4523E">
        <w:rPr>
          <w:rFonts w:ascii="Book Antiqua" w:hAnsi="Book Antiqua" w:cs="Times New Roman"/>
          <w:sz w:val="24"/>
          <w:szCs w:val="24"/>
          <w:lang w:val="en-US"/>
        </w:rPr>
        <w:t xml:space="preserve">both </w:t>
      </w:r>
      <w:r w:rsidRPr="00B4523E">
        <w:rPr>
          <w:rFonts w:ascii="Book Antiqua" w:hAnsi="Book Antiqua" w:cs="Times New Roman"/>
          <w:sz w:val="24"/>
          <w:szCs w:val="24"/>
          <w:lang w:val="en-US"/>
        </w:rPr>
        <w:t>frequency and intensity.</w:t>
      </w:r>
      <w:r w:rsidR="00643298" w:rsidRPr="00B4523E">
        <w:rPr>
          <w:rFonts w:ascii="Book Antiqua" w:hAnsi="Book Antiqua" w:cs="Times New Roman"/>
          <w:sz w:val="24"/>
          <w:szCs w:val="24"/>
          <w:lang w:val="en-US"/>
        </w:rPr>
        <w:t xml:space="preserve">  Since 1999, there have been at least </w:t>
      </w:r>
      <w:r w:rsidR="006022D5" w:rsidRPr="00B4523E">
        <w:rPr>
          <w:rFonts w:ascii="Book Antiqua" w:hAnsi="Book Antiqua" w:cs="Times New Roman"/>
          <w:sz w:val="24"/>
          <w:szCs w:val="24"/>
          <w:lang w:val="en-US"/>
        </w:rPr>
        <w:t xml:space="preserve">eleven named storms that had a notable impact on </w:t>
      </w:r>
      <w:r w:rsidR="00E459A9" w:rsidRPr="00B4523E">
        <w:rPr>
          <w:rFonts w:ascii="Book Antiqua" w:hAnsi="Book Antiqua" w:cs="Times New Roman"/>
          <w:sz w:val="24"/>
          <w:szCs w:val="24"/>
          <w:lang w:val="en-US"/>
        </w:rPr>
        <w:t>some</w:t>
      </w:r>
      <w:r w:rsidR="0063018C">
        <w:rPr>
          <w:rFonts w:ascii="Book Antiqua" w:hAnsi="Book Antiqua" w:cs="Times New Roman"/>
          <w:sz w:val="24"/>
          <w:szCs w:val="24"/>
          <w:lang w:val="en-US"/>
        </w:rPr>
        <w:t xml:space="preserve"> part of the archipelago.  </w:t>
      </w:r>
      <w:r w:rsidR="00986D15">
        <w:rPr>
          <w:rFonts w:ascii="Book Antiqua" w:hAnsi="Book Antiqua" w:cs="Times New Roman"/>
          <w:sz w:val="24"/>
          <w:szCs w:val="24"/>
          <w:lang w:val="en-US"/>
        </w:rPr>
        <w:t xml:space="preserve">These storms </w:t>
      </w:r>
      <w:r w:rsidR="006022D5" w:rsidRPr="00B4523E">
        <w:rPr>
          <w:rFonts w:ascii="Book Antiqua" w:hAnsi="Book Antiqua" w:cs="Times New Roman"/>
          <w:sz w:val="24"/>
          <w:szCs w:val="24"/>
          <w:lang w:val="en-US"/>
        </w:rPr>
        <w:t xml:space="preserve">have had the foreseeable impact of disrupting economic activity in </w:t>
      </w:r>
      <w:r w:rsidR="0010792A">
        <w:rPr>
          <w:rFonts w:ascii="Book Antiqua" w:hAnsi="Book Antiqua" w:cs="Times New Roman"/>
          <w:sz w:val="24"/>
          <w:szCs w:val="24"/>
          <w:lang w:val="en-US"/>
        </w:rPr>
        <w:t xml:space="preserve">both the immediate and </w:t>
      </w:r>
      <w:r w:rsidR="006022D5" w:rsidRPr="00B4523E">
        <w:rPr>
          <w:rFonts w:ascii="Book Antiqua" w:hAnsi="Book Antiqua" w:cs="Times New Roman"/>
          <w:sz w:val="24"/>
          <w:szCs w:val="24"/>
          <w:lang w:val="en-US"/>
        </w:rPr>
        <w:t>medium</w:t>
      </w:r>
      <w:r w:rsidR="0010792A">
        <w:rPr>
          <w:rFonts w:ascii="Book Antiqua" w:hAnsi="Book Antiqua" w:cs="Times New Roman"/>
          <w:sz w:val="24"/>
          <w:szCs w:val="24"/>
          <w:lang w:val="en-US"/>
        </w:rPr>
        <w:t>-</w:t>
      </w:r>
      <w:r w:rsidR="006022D5" w:rsidRPr="00B4523E">
        <w:rPr>
          <w:rFonts w:ascii="Book Antiqua" w:hAnsi="Book Antiqua" w:cs="Times New Roman"/>
          <w:sz w:val="24"/>
          <w:szCs w:val="24"/>
          <w:lang w:val="en-US"/>
        </w:rPr>
        <w:t>term</w:t>
      </w:r>
      <w:r w:rsidR="000A5522">
        <w:rPr>
          <w:rFonts w:ascii="Book Antiqua" w:hAnsi="Book Antiqua" w:cs="Times New Roman"/>
          <w:sz w:val="24"/>
          <w:szCs w:val="24"/>
          <w:lang w:val="en-US"/>
        </w:rPr>
        <w:t xml:space="preserve">, </w:t>
      </w:r>
      <w:r w:rsidR="006022D5" w:rsidRPr="00B4523E">
        <w:rPr>
          <w:rFonts w:ascii="Book Antiqua" w:hAnsi="Book Antiqua" w:cs="Times New Roman"/>
          <w:sz w:val="24"/>
          <w:szCs w:val="24"/>
          <w:lang w:val="en-US"/>
        </w:rPr>
        <w:t>as shown in reduced output</w:t>
      </w:r>
      <w:r w:rsidR="000A5522">
        <w:rPr>
          <w:rFonts w:ascii="Book Antiqua" w:hAnsi="Book Antiqua" w:cs="Times New Roman"/>
          <w:sz w:val="24"/>
          <w:szCs w:val="24"/>
          <w:lang w:val="en-US"/>
        </w:rPr>
        <w:t xml:space="preserve">, </w:t>
      </w:r>
      <w:r w:rsidR="006022D5" w:rsidRPr="00B4523E">
        <w:rPr>
          <w:rFonts w:ascii="Book Antiqua" w:hAnsi="Book Antiqua" w:cs="Times New Roman"/>
          <w:sz w:val="24"/>
          <w:szCs w:val="24"/>
          <w:lang w:val="en-US"/>
        </w:rPr>
        <w:t xml:space="preserve">rise in </w:t>
      </w:r>
      <w:r w:rsidR="000A5522">
        <w:rPr>
          <w:rFonts w:ascii="Book Antiqua" w:hAnsi="Book Antiqua" w:cs="Times New Roman"/>
          <w:sz w:val="24"/>
          <w:szCs w:val="24"/>
          <w:lang w:val="en-US"/>
        </w:rPr>
        <w:t>unemployment</w:t>
      </w:r>
      <w:r w:rsidR="003A347B">
        <w:rPr>
          <w:rFonts w:ascii="Book Antiqua" w:hAnsi="Book Antiqua" w:cs="Times New Roman"/>
          <w:sz w:val="24"/>
          <w:szCs w:val="24"/>
          <w:lang w:val="en-US"/>
        </w:rPr>
        <w:t xml:space="preserve">; and </w:t>
      </w:r>
      <w:r w:rsidR="0063018C">
        <w:rPr>
          <w:rFonts w:ascii="Book Antiqua" w:hAnsi="Book Antiqua" w:cs="Times New Roman"/>
          <w:sz w:val="24"/>
          <w:szCs w:val="24"/>
          <w:lang w:val="en-US"/>
        </w:rPr>
        <w:t xml:space="preserve">in </w:t>
      </w:r>
      <w:r w:rsidR="003A347B">
        <w:rPr>
          <w:rFonts w:ascii="Book Antiqua" w:hAnsi="Book Antiqua" w:cs="Times New Roman"/>
          <w:sz w:val="24"/>
          <w:szCs w:val="24"/>
          <w:lang w:val="en-US"/>
        </w:rPr>
        <w:t xml:space="preserve">placing </w:t>
      </w:r>
      <w:r w:rsidR="006953CC">
        <w:rPr>
          <w:rFonts w:ascii="Book Antiqua" w:hAnsi="Book Antiqua" w:cs="Times New Roman"/>
          <w:sz w:val="24"/>
          <w:szCs w:val="24"/>
          <w:lang w:val="en-US"/>
        </w:rPr>
        <w:t>great</w:t>
      </w:r>
      <w:r w:rsidR="0063018C">
        <w:rPr>
          <w:rFonts w:ascii="Book Antiqua" w:hAnsi="Book Antiqua" w:cs="Times New Roman"/>
          <w:sz w:val="24"/>
          <w:szCs w:val="24"/>
          <w:lang w:val="en-US"/>
        </w:rPr>
        <w:t xml:space="preserve"> </w:t>
      </w:r>
      <w:r w:rsidR="003A347B">
        <w:rPr>
          <w:rFonts w:ascii="Book Antiqua" w:hAnsi="Book Antiqua" w:cs="Times New Roman"/>
          <w:sz w:val="24"/>
          <w:szCs w:val="24"/>
          <w:lang w:val="en-US"/>
        </w:rPr>
        <w:t xml:space="preserve">strain </w:t>
      </w:r>
      <w:r w:rsidR="006022D5" w:rsidRPr="00B4523E">
        <w:rPr>
          <w:rFonts w:ascii="Book Antiqua" w:hAnsi="Book Antiqua" w:cs="Times New Roman"/>
          <w:sz w:val="24"/>
          <w:szCs w:val="24"/>
          <w:lang w:val="en-US"/>
        </w:rPr>
        <w:t>on</w:t>
      </w:r>
      <w:r w:rsidR="005254F7">
        <w:rPr>
          <w:rFonts w:ascii="Book Antiqua" w:hAnsi="Book Antiqua" w:cs="Times New Roman"/>
          <w:sz w:val="24"/>
          <w:szCs w:val="24"/>
          <w:lang w:val="en-US"/>
        </w:rPr>
        <w:t xml:space="preserve"> </w:t>
      </w:r>
      <w:r w:rsidR="006953CC">
        <w:rPr>
          <w:rFonts w:ascii="Book Antiqua" w:hAnsi="Book Antiqua" w:cs="Times New Roman"/>
          <w:sz w:val="24"/>
          <w:szCs w:val="24"/>
          <w:lang w:val="en-US"/>
        </w:rPr>
        <w:t>g</w:t>
      </w:r>
      <w:r w:rsidR="006022D5" w:rsidRPr="00B4523E">
        <w:rPr>
          <w:rFonts w:ascii="Book Antiqua" w:hAnsi="Book Antiqua" w:cs="Times New Roman"/>
          <w:sz w:val="24"/>
          <w:szCs w:val="24"/>
          <w:lang w:val="en-US"/>
        </w:rPr>
        <w:t xml:space="preserve">overnment’s </w:t>
      </w:r>
      <w:r w:rsidR="003A347B">
        <w:rPr>
          <w:rFonts w:ascii="Book Antiqua" w:hAnsi="Book Antiqua" w:cs="Times New Roman"/>
          <w:sz w:val="24"/>
          <w:szCs w:val="24"/>
          <w:lang w:val="en-US"/>
        </w:rPr>
        <w:t>finances</w:t>
      </w:r>
      <w:r w:rsidR="005B111B" w:rsidRPr="00B4523E">
        <w:rPr>
          <w:rFonts w:ascii="Book Antiqua" w:hAnsi="Book Antiqua" w:cs="Times New Roman"/>
          <w:sz w:val="24"/>
          <w:szCs w:val="24"/>
          <w:lang w:val="en-US"/>
        </w:rPr>
        <w:t>.</w:t>
      </w:r>
      <w:r w:rsidR="003A347B">
        <w:rPr>
          <w:rStyle w:val="FootnoteReference"/>
          <w:rFonts w:ascii="Book Antiqua" w:hAnsi="Book Antiqua" w:cs="Times New Roman"/>
          <w:sz w:val="24"/>
          <w:szCs w:val="24"/>
          <w:lang w:val="en-US"/>
        </w:rPr>
        <w:footnoteReference w:id="1"/>
      </w:r>
      <w:r w:rsidR="005B111B" w:rsidRPr="00B4523E">
        <w:rPr>
          <w:rFonts w:ascii="Book Antiqua" w:hAnsi="Book Antiqua" w:cs="Times New Roman"/>
          <w:sz w:val="24"/>
          <w:szCs w:val="24"/>
          <w:lang w:val="en-US"/>
        </w:rPr>
        <w:t xml:space="preserve">  </w:t>
      </w:r>
      <w:r w:rsidR="0010792A">
        <w:rPr>
          <w:rFonts w:ascii="Book Antiqua" w:hAnsi="Book Antiqua" w:cs="Times New Roman"/>
          <w:sz w:val="24"/>
          <w:szCs w:val="24"/>
          <w:lang w:val="en-US"/>
        </w:rPr>
        <w:t xml:space="preserve">Before Dorian, </w:t>
      </w:r>
      <w:r w:rsidR="000E1AD1" w:rsidRPr="00B4523E">
        <w:rPr>
          <w:rFonts w:ascii="Book Antiqua" w:hAnsi="Book Antiqua" w:cs="Times New Roman"/>
          <w:sz w:val="24"/>
          <w:szCs w:val="24"/>
          <w:lang w:val="en-US"/>
        </w:rPr>
        <w:t xml:space="preserve">Hurricane Matthew (2016) </w:t>
      </w:r>
      <w:r w:rsidR="0010792A">
        <w:rPr>
          <w:rFonts w:ascii="Book Antiqua" w:hAnsi="Book Antiqua" w:cs="Times New Roman"/>
          <w:sz w:val="24"/>
          <w:szCs w:val="24"/>
          <w:lang w:val="en-US"/>
        </w:rPr>
        <w:t>exacted most recent hig</w:t>
      </w:r>
      <w:r w:rsidR="005254F7">
        <w:rPr>
          <w:rFonts w:ascii="Book Antiqua" w:hAnsi="Book Antiqua" w:cs="Times New Roman"/>
          <w:sz w:val="24"/>
          <w:szCs w:val="24"/>
          <w:lang w:val="en-US"/>
        </w:rPr>
        <w:t xml:space="preserve">h </w:t>
      </w:r>
      <w:r w:rsidR="0010792A">
        <w:rPr>
          <w:rFonts w:ascii="Book Antiqua" w:hAnsi="Book Antiqua" w:cs="Times New Roman"/>
          <w:sz w:val="24"/>
          <w:szCs w:val="24"/>
          <w:lang w:val="en-US"/>
        </w:rPr>
        <w:t xml:space="preserve">toll,  </w:t>
      </w:r>
      <w:r w:rsidR="0063018C">
        <w:rPr>
          <w:rFonts w:ascii="Book Antiqua" w:hAnsi="Book Antiqua" w:cs="Times New Roman"/>
          <w:sz w:val="24"/>
          <w:szCs w:val="24"/>
          <w:lang w:val="en-US"/>
        </w:rPr>
        <w:t xml:space="preserve">even posing an obstacle to the </w:t>
      </w:r>
      <w:r w:rsidR="006953CC">
        <w:rPr>
          <w:rFonts w:ascii="Book Antiqua" w:hAnsi="Book Antiqua" w:cs="Times New Roman"/>
          <w:sz w:val="24"/>
          <w:szCs w:val="24"/>
          <w:lang w:val="en-US"/>
        </w:rPr>
        <w:t>g</w:t>
      </w:r>
      <w:r w:rsidR="0063018C">
        <w:rPr>
          <w:rFonts w:ascii="Book Antiqua" w:hAnsi="Book Antiqua" w:cs="Times New Roman"/>
          <w:sz w:val="24"/>
          <w:szCs w:val="24"/>
          <w:lang w:val="en-US"/>
        </w:rPr>
        <w:t xml:space="preserve">overnment’s </w:t>
      </w:r>
      <w:r w:rsidR="0010792A">
        <w:rPr>
          <w:rFonts w:ascii="Book Antiqua" w:hAnsi="Book Antiqua" w:cs="Times New Roman"/>
          <w:sz w:val="24"/>
          <w:szCs w:val="24"/>
          <w:lang w:val="en-US"/>
        </w:rPr>
        <w:t>then articulated medium-term fiscal consolidation plan</w:t>
      </w:r>
      <w:r w:rsidR="00D75D00" w:rsidRPr="00B4523E">
        <w:rPr>
          <w:rFonts w:ascii="Book Antiqua" w:hAnsi="Book Antiqua" w:cs="Times New Roman"/>
          <w:sz w:val="24"/>
          <w:szCs w:val="24"/>
          <w:lang w:val="en-US"/>
        </w:rPr>
        <w:t xml:space="preserve">. </w:t>
      </w:r>
    </w:p>
    <w:p w14:paraId="19D332C3" w14:textId="05CF506B" w:rsidR="007C4A2F" w:rsidRDefault="00D75D00" w:rsidP="00B4523E">
      <w:pPr>
        <w:spacing w:line="360" w:lineRule="auto"/>
        <w:jc w:val="both"/>
        <w:rPr>
          <w:rFonts w:ascii="Book Antiqua" w:hAnsi="Book Antiqua" w:cs="Times New Roman"/>
          <w:sz w:val="24"/>
          <w:szCs w:val="24"/>
          <w:lang w:val="en-US"/>
        </w:rPr>
      </w:pPr>
      <w:r w:rsidRPr="00B4523E">
        <w:rPr>
          <w:rFonts w:ascii="Book Antiqua" w:hAnsi="Book Antiqua" w:cs="Times New Roman"/>
          <w:sz w:val="24"/>
          <w:szCs w:val="24"/>
          <w:lang w:val="en-US"/>
        </w:rPr>
        <w:t xml:space="preserve">The impact </w:t>
      </w:r>
      <w:r w:rsidR="0010792A">
        <w:rPr>
          <w:rFonts w:ascii="Book Antiqua" w:hAnsi="Book Antiqua" w:cs="Times New Roman"/>
          <w:sz w:val="24"/>
          <w:szCs w:val="24"/>
          <w:lang w:val="en-US"/>
        </w:rPr>
        <w:t xml:space="preserve">from </w:t>
      </w:r>
      <w:r w:rsidRPr="00B4523E">
        <w:rPr>
          <w:rFonts w:ascii="Book Antiqua" w:hAnsi="Book Antiqua" w:cs="Times New Roman"/>
          <w:sz w:val="24"/>
          <w:szCs w:val="24"/>
          <w:lang w:val="en-US"/>
        </w:rPr>
        <w:t xml:space="preserve">Hurricane Dorian is </w:t>
      </w:r>
      <w:r w:rsidR="004E1B3F">
        <w:rPr>
          <w:rFonts w:ascii="Book Antiqua" w:hAnsi="Book Antiqua" w:cs="Times New Roman"/>
          <w:sz w:val="24"/>
          <w:szCs w:val="24"/>
          <w:lang w:val="en-US"/>
        </w:rPr>
        <w:t>projected</w:t>
      </w:r>
      <w:r w:rsidRPr="00B4523E">
        <w:rPr>
          <w:rFonts w:ascii="Book Antiqua" w:hAnsi="Book Antiqua" w:cs="Times New Roman"/>
          <w:sz w:val="24"/>
          <w:szCs w:val="24"/>
          <w:lang w:val="en-US"/>
        </w:rPr>
        <w:t xml:space="preserve"> to be greater</w:t>
      </w:r>
      <w:r w:rsidR="00C60973">
        <w:rPr>
          <w:rFonts w:ascii="Book Antiqua" w:hAnsi="Book Antiqua" w:cs="Times New Roman"/>
          <w:sz w:val="24"/>
          <w:szCs w:val="24"/>
          <w:lang w:val="en-US"/>
        </w:rPr>
        <w:t xml:space="preserve"> than Matthew’s.</w:t>
      </w:r>
      <w:r w:rsidR="00101AF1" w:rsidRPr="00B4523E">
        <w:rPr>
          <w:rFonts w:ascii="Book Antiqua" w:hAnsi="Book Antiqua" w:cs="Times New Roman"/>
          <w:sz w:val="24"/>
          <w:szCs w:val="24"/>
          <w:lang w:val="en-US"/>
        </w:rPr>
        <w:t xml:space="preserve">  In the monetary</w:t>
      </w:r>
      <w:r w:rsidR="0010792A">
        <w:rPr>
          <w:rFonts w:ascii="Book Antiqua" w:hAnsi="Book Antiqua" w:cs="Times New Roman"/>
          <w:sz w:val="24"/>
          <w:szCs w:val="24"/>
          <w:lang w:val="en-US"/>
        </w:rPr>
        <w:t xml:space="preserve"> and financial </w:t>
      </w:r>
      <w:r w:rsidR="00101AF1" w:rsidRPr="00B4523E">
        <w:rPr>
          <w:rFonts w:ascii="Book Antiqua" w:hAnsi="Book Antiqua" w:cs="Times New Roman"/>
          <w:sz w:val="24"/>
          <w:szCs w:val="24"/>
          <w:lang w:val="en-US"/>
        </w:rPr>
        <w:t>sector</w:t>
      </w:r>
      <w:r w:rsidR="004320B9">
        <w:rPr>
          <w:rFonts w:ascii="Book Antiqua" w:hAnsi="Book Antiqua" w:cs="Times New Roman"/>
          <w:sz w:val="24"/>
          <w:szCs w:val="24"/>
          <w:lang w:val="en-US"/>
        </w:rPr>
        <w:t xml:space="preserve">, </w:t>
      </w:r>
      <w:r w:rsidR="0010792A">
        <w:rPr>
          <w:rFonts w:ascii="Book Antiqua" w:hAnsi="Book Antiqua" w:cs="Times New Roman"/>
          <w:sz w:val="24"/>
          <w:szCs w:val="24"/>
          <w:lang w:val="en-US"/>
        </w:rPr>
        <w:t xml:space="preserve">setbacks </w:t>
      </w:r>
      <w:r w:rsidR="00101AF1" w:rsidRPr="00B4523E">
        <w:rPr>
          <w:rFonts w:ascii="Book Antiqua" w:hAnsi="Book Antiqua" w:cs="Times New Roman"/>
          <w:sz w:val="24"/>
          <w:szCs w:val="24"/>
          <w:lang w:val="en-US"/>
        </w:rPr>
        <w:t>include</w:t>
      </w:r>
      <w:r w:rsidR="00247EDE" w:rsidRPr="00B4523E">
        <w:rPr>
          <w:rFonts w:ascii="Book Antiqua" w:hAnsi="Book Antiqua" w:cs="Times New Roman"/>
          <w:sz w:val="24"/>
          <w:szCs w:val="24"/>
          <w:lang w:val="en-US"/>
        </w:rPr>
        <w:t xml:space="preserve"> the disruption </w:t>
      </w:r>
      <w:r w:rsidR="0010792A">
        <w:rPr>
          <w:rFonts w:ascii="Book Antiqua" w:hAnsi="Book Antiqua" w:cs="Times New Roman"/>
          <w:sz w:val="24"/>
          <w:szCs w:val="24"/>
          <w:lang w:val="en-US"/>
        </w:rPr>
        <w:t xml:space="preserve">in </w:t>
      </w:r>
      <w:r w:rsidR="00247EDE" w:rsidRPr="00B4523E">
        <w:rPr>
          <w:rFonts w:ascii="Book Antiqua" w:hAnsi="Book Antiqua" w:cs="Times New Roman"/>
          <w:sz w:val="24"/>
          <w:szCs w:val="24"/>
          <w:lang w:val="en-US"/>
        </w:rPr>
        <w:t xml:space="preserve">banking </w:t>
      </w:r>
      <w:r w:rsidR="0010792A">
        <w:rPr>
          <w:rFonts w:ascii="Book Antiqua" w:hAnsi="Book Antiqua" w:cs="Times New Roman"/>
          <w:sz w:val="24"/>
          <w:szCs w:val="24"/>
          <w:lang w:val="en-US"/>
        </w:rPr>
        <w:t xml:space="preserve">and payment </w:t>
      </w:r>
      <w:r w:rsidR="00247EDE" w:rsidRPr="00B4523E">
        <w:rPr>
          <w:rFonts w:ascii="Book Antiqua" w:hAnsi="Book Antiqua" w:cs="Times New Roman"/>
          <w:sz w:val="24"/>
          <w:szCs w:val="24"/>
          <w:lang w:val="en-US"/>
        </w:rPr>
        <w:t>services</w:t>
      </w:r>
      <w:r w:rsidR="0010792A">
        <w:rPr>
          <w:rFonts w:ascii="Book Antiqua" w:hAnsi="Book Antiqua" w:cs="Times New Roman"/>
          <w:sz w:val="24"/>
          <w:szCs w:val="24"/>
          <w:lang w:val="en-US"/>
        </w:rPr>
        <w:t xml:space="preserve">; and </w:t>
      </w:r>
      <w:r w:rsidR="0063018C">
        <w:rPr>
          <w:rFonts w:ascii="Book Antiqua" w:hAnsi="Book Antiqua" w:cs="Times New Roman"/>
          <w:sz w:val="24"/>
          <w:szCs w:val="24"/>
          <w:lang w:val="en-US"/>
        </w:rPr>
        <w:t xml:space="preserve">a </w:t>
      </w:r>
      <w:r w:rsidR="00247EDE" w:rsidRPr="00B4523E">
        <w:rPr>
          <w:rFonts w:ascii="Book Antiqua" w:hAnsi="Book Antiqua" w:cs="Times New Roman"/>
          <w:sz w:val="24"/>
          <w:szCs w:val="24"/>
          <w:lang w:val="en-US"/>
        </w:rPr>
        <w:t xml:space="preserve">potential deterioration in banks’ credit quality indicators </w:t>
      </w:r>
      <w:r w:rsidR="0063018C">
        <w:rPr>
          <w:rFonts w:ascii="Book Antiqua" w:hAnsi="Book Antiqua" w:cs="Times New Roman"/>
          <w:sz w:val="24"/>
          <w:szCs w:val="24"/>
          <w:lang w:val="en-US"/>
        </w:rPr>
        <w:t xml:space="preserve">as </w:t>
      </w:r>
      <w:r w:rsidR="004D7F77">
        <w:rPr>
          <w:rFonts w:ascii="Book Antiqua" w:hAnsi="Book Antiqua" w:cs="Times New Roman"/>
          <w:sz w:val="24"/>
          <w:szCs w:val="24"/>
          <w:lang w:val="en-US"/>
        </w:rPr>
        <w:t>borrowe</w:t>
      </w:r>
      <w:r w:rsidR="004E1B3F">
        <w:rPr>
          <w:rFonts w:ascii="Book Antiqua" w:hAnsi="Book Antiqua" w:cs="Times New Roman"/>
          <w:sz w:val="24"/>
          <w:szCs w:val="24"/>
          <w:lang w:val="en-US"/>
        </w:rPr>
        <w:t>rs</w:t>
      </w:r>
      <w:r w:rsidR="0010792A">
        <w:rPr>
          <w:rFonts w:ascii="Book Antiqua" w:hAnsi="Book Antiqua" w:cs="Times New Roman"/>
          <w:sz w:val="24"/>
          <w:szCs w:val="24"/>
          <w:lang w:val="en-US"/>
        </w:rPr>
        <w:t xml:space="preserve"> in the impacted zones </w:t>
      </w:r>
      <w:r w:rsidR="00D053AB">
        <w:rPr>
          <w:rFonts w:ascii="Book Antiqua" w:hAnsi="Book Antiqua" w:cs="Times New Roman"/>
          <w:sz w:val="24"/>
          <w:szCs w:val="24"/>
          <w:lang w:val="en-US"/>
        </w:rPr>
        <w:t>encounter</w:t>
      </w:r>
      <w:r w:rsidR="0010792A">
        <w:rPr>
          <w:rFonts w:ascii="Book Antiqua" w:hAnsi="Book Antiqua" w:cs="Times New Roman"/>
          <w:sz w:val="24"/>
          <w:szCs w:val="24"/>
          <w:lang w:val="en-US"/>
        </w:rPr>
        <w:t xml:space="preserve"> </w:t>
      </w:r>
      <w:r w:rsidR="0063018C">
        <w:rPr>
          <w:rFonts w:ascii="Book Antiqua" w:hAnsi="Book Antiqua" w:cs="Times New Roman"/>
          <w:sz w:val="24"/>
          <w:szCs w:val="24"/>
          <w:lang w:val="en-US"/>
        </w:rPr>
        <w:t>a</w:t>
      </w:r>
      <w:r w:rsidR="0010792A">
        <w:rPr>
          <w:rFonts w:ascii="Book Antiqua" w:hAnsi="Book Antiqua" w:cs="Times New Roman"/>
          <w:sz w:val="24"/>
          <w:szCs w:val="24"/>
          <w:lang w:val="en-US"/>
        </w:rPr>
        <w:t xml:space="preserve"> </w:t>
      </w:r>
      <w:r w:rsidR="0063018C">
        <w:rPr>
          <w:rFonts w:ascii="Book Antiqua" w:hAnsi="Book Antiqua" w:cs="Times New Roman"/>
          <w:sz w:val="24"/>
          <w:szCs w:val="24"/>
          <w:lang w:val="en-US"/>
        </w:rPr>
        <w:t>lengthy</w:t>
      </w:r>
      <w:r w:rsidR="0010792A">
        <w:rPr>
          <w:rFonts w:ascii="Book Antiqua" w:hAnsi="Book Antiqua" w:cs="Times New Roman"/>
          <w:sz w:val="24"/>
          <w:szCs w:val="24"/>
          <w:lang w:val="en-US"/>
        </w:rPr>
        <w:t xml:space="preserve"> period of </w:t>
      </w:r>
      <w:r w:rsidR="004D7F77">
        <w:rPr>
          <w:rFonts w:ascii="Book Antiqua" w:hAnsi="Book Antiqua" w:cs="Times New Roman"/>
          <w:sz w:val="24"/>
          <w:szCs w:val="24"/>
          <w:lang w:val="en-US"/>
        </w:rPr>
        <w:t>reduced or eliminated income</w:t>
      </w:r>
      <w:r w:rsidR="00812D69">
        <w:rPr>
          <w:rFonts w:ascii="Book Antiqua" w:hAnsi="Book Antiqua" w:cs="Times New Roman"/>
          <w:sz w:val="24"/>
          <w:szCs w:val="24"/>
          <w:lang w:val="en-US"/>
        </w:rPr>
        <w:t>s</w:t>
      </w:r>
      <w:r w:rsidR="004D7F77">
        <w:rPr>
          <w:rFonts w:ascii="Book Antiqua" w:hAnsi="Book Antiqua" w:cs="Times New Roman"/>
          <w:sz w:val="24"/>
          <w:szCs w:val="24"/>
          <w:lang w:val="en-US"/>
        </w:rPr>
        <w:t>.</w:t>
      </w:r>
    </w:p>
    <w:p w14:paraId="562D60C2" w14:textId="2FF3DE2F" w:rsidR="00F71EFB" w:rsidRDefault="009F694D" w:rsidP="000F331F">
      <w:pPr>
        <w:pStyle w:val="Heading2"/>
      </w:pPr>
      <w:r>
        <w:t xml:space="preserve">Policy Responses </w:t>
      </w:r>
      <w:r w:rsidR="004028D6">
        <w:t>&amp;</w:t>
      </w:r>
      <w:r>
        <w:t xml:space="preserve"> </w:t>
      </w:r>
      <w:r w:rsidR="00F71EFB" w:rsidRPr="00B4523E">
        <w:t>Preliminary</w:t>
      </w:r>
      <w:r w:rsidR="00101AF1" w:rsidRPr="00B4523E">
        <w:t xml:space="preserve"> Estimates of the</w:t>
      </w:r>
      <w:r w:rsidR="00F71EFB" w:rsidRPr="00B4523E">
        <w:t xml:space="preserve"> Impact of </w:t>
      </w:r>
      <w:r w:rsidR="00101AF1" w:rsidRPr="00B4523E">
        <w:t>Hurricane Dorian</w:t>
      </w:r>
      <w:r w:rsidR="005A6CB1" w:rsidRPr="00B4523E">
        <w:t xml:space="preserve"> on the Banking Sector</w:t>
      </w:r>
    </w:p>
    <w:p w14:paraId="1B293627" w14:textId="00656D9C" w:rsidR="00373900" w:rsidRPr="004D7F77" w:rsidRDefault="0063018C" w:rsidP="004D7F77">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I</w:t>
      </w:r>
      <w:r w:rsidR="00373900" w:rsidRPr="004D7F77">
        <w:rPr>
          <w:rFonts w:ascii="Book Antiqua" w:hAnsi="Book Antiqua" w:cs="Times New Roman"/>
          <w:sz w:val="24"/>
          <w:szCs w:val="24"/>
          <w:lang w:val="en-US"/>
        </w:rPr>
        <w:t xml:space="preserve">mmediately following the </w:t>
      </w:r>
      <w:r>
        <w:rPr>
          <w:rFonts w:ascii="Book Antiqua" w:hAnsi="Book Antiqua" w:cs="Times New Roman"/>
          <w:sz w:val="24"/>
          <w:szCs w:val="24"/>
          <w:lang w:val="en-US"/>
        </w:rPr>
        <w:t>storm</w:t>
      </w:r>
      <w:r w:rsidR="00373900" w:rsidRPr="004D7F77">
        <w:rPr>
          <w:rFonts w:ascii="Book Antiqua" w:hAnsi="Book Antiqua" w:cs="Times New Roman"/>
          <w:sz w:val="24"/>
          <w:szCs w:val="24"/>
          <w:lang w:val="en-US"/>
        </w:rPr>
        <w:t xml:space="preserve">, the Central Bank – consistent with actions taken </w:t>
      </w:r>
      <w:r w:rsidR="002C1F84">
        <w:rPr>
          <w:rFonts w:ascii="Book Antiqua" w:hAnsi="Book Antiqua" w:cs="Times New Roman"/>
          <w:sz w:val="24"/>
          <w:szCs w:val="24"/>
          <w:lang w:val="en-US"/>
        </w:rPr>
        <w:t>after</w:t>
      </w:r>
      <w:r w:rsidR="007F461B">
        <w:rPr>
          <w:rFonts w:ascii="Book Antiqua" w:hAnsi="Book Antiqua" w:cs="Times New Roman"/>
          <w:sz w:val="24"/>
          <w:szCs w:val="24"/>
          <w:lang w:val="en-US"/>
        </w:rPr>
        <w:t xml:space="preserve"> other severe  encounters</w:t>
      </w:r>
      <w:r w:rsidR="00373900" w:rsidRPr="004D7F77">
        <w:rPr>
          <w:rFonts w:ascii="Book Antiqua" w:hAnsi="Book Antiqua" w:cs="Times New Roman"/>
          <w:sz w:val="24"/>
          <w:szCs w:val="24"/>
          <w:lang w:val="en-US"/>
        </w:rPr>
        <w:t xml:space="preserve"> – relaxed lending guidelines for domestic banks on a temporary basis.  </w:t>
      </w:r>
      <w:r w:rsidR="005106FC" w:rsidRPr="004D7F77">
        <w:rPr>
          <w:rFonts w:ascii="Book Antiqua" w:hAnsi="Book Antiqua" w:cs="Times New Roman"/>
          <w:sz w:val="24"/>
          <w:szCs w:val="24"/>
          <w:lang w:val="en-US"/>
        </w:rPr>
        <w:t xml:space="preserve">Specifically, in relation to hurricane relief facilities, the 15% equity </w:t>
      </w:r>
      <w:r w:rsidR="004D7F77">
        <w:rPr>
          <w:rFonts w:ascii="Book Antiqua" w:hAnsi="Book Antiqua" w:cs="Times New Roman"/>
          <w:sz w:val="24"/>
          <w:szCs w:val="24"/>
          <w:lang w:val="en-US"/>
        </w:rPr>
        <w:t xml:space="preserve">or down payment </w:t>
      </w:r>
      <w:r w:rsidR="005106FC" w:rsidRPr="004D7F77">
        <w:rPr>
          <w:rFonts w:ascii="Book Antiqua" w:hAnsi="Book Antiqua" w:cs="Times New Roman"/>
          <w:sz w:val="24"/>
          <w:szCs w:val="24"/>
          <w:lang w:val="en-US"/>
        </w:rPr>
        <w:t xml:space="preserve">contribution and the 40%-45% debt service ratio (for </w:t>
      </w:r>
      <w:r w:rsidR="009077D5">
        <w:rPr>
          <w:rFonts w:ascii="Book Antiqua" w:hAnsi="Book Antiqua" w:cs="Times New Roman"/>
          <w:sz w:val="24"/>
          <w:szCs w:val="24"/>
          <w:lang w:val="en-US"/>
        </w:rPr>
        <w:t>directly impacted</w:t>
      </w:r>
      <w:r w:rsidR="005106FC" w:rsidRPr="004D7F77">
        <w:rPr>
          <w:rFonts w:ascii="Book Antiqua" w:hAnsi="Book Antiqua" w:cs="Times New Roman"/>
          <w:sz w:val="24"/>
          <w:szCs w:val="24"/>
          <w:lang w:val="en-US"/>
        </w:rPr>
        <w:t xml:space="preserve"> borrowers) were waived in order to facilitate </w:t>
      </w:r>
      <w:r>
        <w:rPr>
          <w:rFonts w:ascii="Book Antiqua" w:hAnsi="Book Antiqua" w:cs="Times New Roman"/>
          <w:sz w:val="24"/>
          <w:szCs w:val="24"/>
          <w:lang w:val="en-US"/>
        </w:rPr>
        <w:t xml:space="preserve">easier, flexible </w:t>
      </w:r>
      <w:r w:rsidR="005106FC" w:rsidRPr="004D7F77">
        <w:rPr>
          <w:rFonts w:ascii="Book Antiqua" w:hAnsi="Book Antiqua" w:cs="Times New Roman"/>
          <w:sz w:val="24"/>
          <w:szCs w:val="24"/>
          <w:lang w:val="en-US"/>
        </w:rPr>
        <w:t>access to credi</w:t>
      </w:r>
      <w:r w:rsidR="00212E3C" w:rsidRPr="004D7F77">
        <w:rPr>
          <w:rFonts w:ascii="Book Antiqua" w:hAnsi="Book Antiqua" w:cs="Times New Roman"/>
          <w:sz w:val="24"/>
          <w:szCs w:val="24"/>
          <w:lang w:val="en-US"/>
        </w:rPr>
        <w:t>t</w:t>
      </w:r>
      <w:r w:rsidR="00AD0BF0">
        <w:rPr>
          <w:rFonts w:ascii="Book Antiqua" w:hAnsi="Book Antiqua" w:cs="Times New Roman"/>
          <w:sz w:val="24"/>
          <w:szCs w:val="24"/>
          <w:lang w:val="en-US"/>
        </w:rPr>
        <w:t>.</w:t>
      </w:r>
      <w:r>
        <w:rPr>
          <w:rFonts w:ascii="Book Antiqua" w:hAnsi="Book Antiqua" w:cs="Times New Roman"/>
          <w:sz w:val="24"/>
          <w:szCs w:val="24"/>
          <w:lang w:val="en-US"/>
        </w:rPr>
        <w:t xml:space="preserve"> </w:t>
      </w:r>
      <w:r w:rsidR="004D7F77">
        <w:rPr>
          <w:rFonts w:ascii="Book Antiqua" w:hAnsi="Book Antiqua" w:cs="Times New Roman"/>
          <w:sz w:val="24"/>
          <w:szCs w:val="24"/>
          <w:lang w:val="en-US"/>
        </w:rPr>
        <w:lastRenderedPageBreak/>
        <w:t>A</w:t>
      </w:r>
      <w:r w:rsidR="006D64AE" w:rsidRPr="004D7F77">
        <w:rPr>
          <w:rFonts w:ascii="Book Antiqua" w:hAnsi="Book Antiqua" w:cs="Times New Roman"/>
          <w:sz w:val="24"/>
          <w:szCs w:val="24"/>
          <w:lang w:val="en-US"/>
        </w:rPr>
        <w:t xml:space="preserve">dditionally, the Bank </w:t>
      </w:r>
      <w:r>
        <w:rPr>
          <w:rFonts w:ascii="Book Antiqua" w:hAnsi="Book Antiqua" w:cs="Times New Roman"/>
          <w:sz w:val="24"/>
          <w:szCs w:val="24"/>
          <w:lang w:val="en-US"/>
        </w:rPr>
        <w:t xml:space="preserve">endorsed </w:t>
      </w:r>
      <w:r w:rsidR="006D64AE" w:rsidRPr="004D7F77">
        <w:rPr>
          <w:rFonts w:ascii="Book Antiqua" w:hAnsi="Book Antiqua" w:cs="Times New Roman"/>
          <w:sz w:val="24"/>
          <w:szCs w:val="24"/>
          <w:lang w:val="en-US"/>
        </w:rPr>
        <w:t xml:space="preserve">temporarily relaxed due diligence </w:t>
      </w:r>
      <w:r w:rsidR="007F461B">
        <w:rPr>
          <w:rFonts w:ascii="Book Antiqua" w:hAnsi="Book Antiqua" w:cs="Times New Roman"/>
          <w:sz w:val="24"/>
          <w:szCs w:val="24"/>
          <w:lang w:val="en-US"/>
        </w:rPr>
        <w:t>procedures</w:t>
      </w:r>
      <w:r>
        <w:rPr>
          <w:rFonts w:ascii="Book Antiqua" w:hAnsi="Book Antiqua" w:cs="Times New Roman"/>
          <w:sz w:val="24"/>
          <w:szCs w:val="24"/>
          <w:lang w:val="en-US"/>
        </w:rPr>
        <w:t xml:space="preserve"> </w:t>
      </w:r>
      <w:r w:rsidR="006D64AE" w:rsidRPr="004D7F77">
        <w:rPr>
          <w:rFonts w:ascii="Book Antiqua" w:hAnsi="Book Antiqua" w:cs="Times New Roman"/>
          <w:sz w:val="24"/>
          <w:szCs w:val="24"/>
          <w:lang w:val="en-US"/>
        </w:rPr>
        <w:t xml:space="preserve">for </w:t>
      </w:r>
      <w:r w:rsidR="00180C60">
        <w:rPr>
          <w:rFonts w:ascii="Book Antiqua" w:hAnsi="Book Antiqua" w:cs="Times New Roman"/>
          <w:sz w:val="24"/>
          <w:szCs w:val="24"/>
          <w:lang w:val="en-US"/>
        </w:rPr>
        <w:t>m</w:t>
      </w:r>
      <w:r w:rsidR="006D64AE" w:rsidRPr="004D7F77">
        <w:rPr>
          <w:rFonts w:ascii="Book Antiqua" w:hAnsi="Book Antiqua" w:cs="Times New Roman"/>
          <w:sz w:val="24"/>
          <w:szCs w:val="24"/>
          <w:lang w:val="en-US"/>
        </w:rPr>
        <w:t>oney</w:t>
      </w:r>
      <w:r w:rsidR="00B3741F" w:rsidRPr="004D7F77">
        <w:rPr>
          <w:rFonts w:ascii="Book Antiqua" w:hAnsi="Book Antiqua" w:cs="Times New Roman"/>
          <w:sz w:val="24"/>
          <w:szCs w:val="24"/>
          <w:lang w:val="en-US"/>
        </w:rPr>
        <w:t xml:space="preserve"> </w:t>
      </w:r>
      <w:r w:rsidR="00180C60">
        <w:rPr>
          <w:rFonts w:ascii="Book Antiqua" w:hAnsi="Book Antiqua" w:cs="Times New Roman"/>
          <w:sz w:val="24"/>
          <w:szCs w:val="24"/>
          <w:lang w:val="en-US"/>
        </w:rPr>
        <w:t>t</w:t>
      </w:r>
      <w:r w:rsidR="00B3741F" w:rsidRPr="004D7F77">
        <w:rPr>
          <w:rFonts w:ascii="Book Antiqua" w:hAnsi="Book Antiqua" w:cs="Times New Roman"/>
          <w:sz w:val="24"/>
          <w:szCs w:val="24"/>
          <w:lang w:val="en-US"/>
        </w:rPr>
        <w:t xml:space="preserve">ransmission </w:t>
      </w:r>
      <w:r w:rsidR="00180C60">
        <w:rPr>
          <w:rFonts w:ascii="Book Antiqua" w:hAnsi="Book Antiqua" w:cs="Times New Roman"/>
          <w:sz w:val="24"/>
          <w:szCs w:val="24"/>
          <w:lang w:val="en-US"/>
        </w:rPr>
        <w:t>b</w:t>
      </w:r>
      <w:r w:rsidR="00B3741F" w:rsidRPr="004D7F77">
        <w:rPr>
          <w:rFonts w:ascii="Book Antiqua" w:hAnsi="Book Antiqua" w:cs="Times New Roman"/>
          <w:sz w:val="24"/>
          <w:szCs w:val="24"/>
          <w:lang w:val="en-US"/>
        </w:rPr>
        <w:t xml:space="preserve">usinesses (MTBs), </w:t>
      </w:r>
      <w:r>
        <w:rPr>
          <w:rFonts w:ascii="Book Antiqua" w:hAnsi="Book Antiqua" w:cs="Times New Roman"/>
          <w:sz w:val="24"/>
          <w:szCs w:val="24"/>
          <w:lang w:val="en-US"/>
        </w:rPr>
        <w:t>given</w:t>
      </w:r>
      <w:r w:rsidR="000D1BDD">
        <w:rPr>
          <w:rFonts w:ascii="Book Antiqua" w:hAnsi="Book Antiqua" w:cs="Times New Roman"/>
          <w:sz w:val="24"/>
          <w:szCs w:val="24"/>
          <w:lang w:val="en-US"/>
        </w:rPr>
        <w:t xml:space="preserve"> the</w:t>
      </w:r>
      <w:r w:rsidR="00B3741F" w:rsidRPr="004D7F77">
        <w:rPr>
          <w:rFonts w:ascii="Book Antiqua" w:hAnsi="Book Antiqua" w:cs="Times New Roman"/>
          <w:sz w:val="24"/>
          <w:szCs w:val="24"/>
          <w:lang w:val="en-US"/>
        </w:rPr>
        <w:t xml:space="preserve"> loss of vital </w:t>
      </w:r>
      <w:r>
        <w:rPr>
          <w:rFonts w:ascii="Book Antiqua" w:hAnsi="Book Antiqua" w:cs="Times New Roman"/>
          <w:sz w:val="24"/>
          <w:szCs w:val="24"/>
          <w:lang w:val="en-US"/>
        </w:rPr>
        <w:t xml:space="preserve">documents </w:t>
      </w:r>
      <w:r w:rsidR="00B3741F" w:rsidRPr="004D7F77">
        <w:rPr>
          <w:rFonts w:ascii="Book Antiqua" w:hAnsi="Book Antiqua" w:cs="Times New Roman"/>
          <w:sz w:val="24"/>
          <w:szCs w:val="24"/>
          <w:lang w:val="en-US"/>
        </w:rPr>
        <w:t>for customers in the impacted areas.</w:t>
      </w:r>
      <w:r>
        <w:rPr>
          <w:rStyle w:val="FootnoteReference"/>
          <w:rFonts w:ascii="Book Antiqua" w:hAnsi="Book Antiqua" w:cs="Times New Roman"/>
          <w:sz w:val="24"/>
          <w:szCs w:val="24"/>
          <w:lang w:val="en-US"/>
        </w:rPr>
        <w:footnoteReference w:id="2"/>
      </w:r>
      <w:r w:rsidR="00B3741F" w:rsidRPr="004D7F77">
        <w:rPr>
          <w:rFonts w:ascii="Book Antiqua" w:hAnsi="Book Antiqua" w:cs="Times New Roman"/>
          <w:sz w:val="24"/>
          <w:szCs w:val="24"/>
          <w:lang w:val="en-US"/>
        </w:rPr>
        <w:t xml:space="preserve">  </w:t>
      </w:r>
    </w:p>
    <w:p w14:paraId="4F2EA2B7" w14:textId="2CFF9760" w:rsidR="00AD0BF0" w:rsidRDefault="00AD0BF0" w:rsidP="00B751A3">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 xml:space="preserve">For their part, commercial banks suspended loan repayments for borrowers in the affected areas for a period of up to 6 months.  In addition, with the absence of bank branches, the customary fees on ATM usage </w:t>
      </w:r>
      <w:r w:rsidR="00242EF1">
        <w:rPr>
          <w:rFonts w:ascii="Book Antiqua" w:hAnsi="Book Antiqua" w:cs="Times New Roman"/>
          <w:sz w:val="24"/>
          <w:szCs w:val="24"/>
          <w:lang w:val="en-US"/>
        </w:rPr>
        <w:t>were</w:t>
      </w:r>
      <w:r>
        <w:rPr>
          <w:rFonts w:ascii="Book Antiqua" w:hAnsi="Book Antiqua" w:cs="Times New Roman"/>
          <w:sz w:val="24"/>
          <w:szCs w:val="24"/>
          <w:lang w:val="en-US"/>
        </w:rPr>
        <w:t xml:space="preserve"> voluntarily suspended on Abaco and Grand Bahama.</w:t>
      </w:r>
    </w:p>
    <w:p w14:paraId="29E52D09" w14:textId="427E846E" w:rsidR="00036025" w:rsidRDefault="00C90AFE" w:rsidP="00B751A3">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Our</w:t>
      </w:r>
      <w:r w:rsidR="00AD0BF0">
        <w:rPr>
          <w:rFonts w:ascii="Book Antiqua" w:hAnsi="Book Antiqua" w:cs="Times New Roman"/>
          <w:sz w:val="24"/>
          <w:szCs w:val="24"/>
          <w:lang w:val="en-US"/>
        </w:rPr>
        <w:t xml:space="preserve"> commercial banks are not under </w:t>
      </w:r>
      <w:r w:rsidR="000D1BDD">
        <w:rPr>
          <w:rFonts w:ascii="Book Antiqua" w:hAnsi="Book Antiqua" w:cs="Times New Roman"/>
          <w:sz w:val="24"/>
          <w:szCs w:val="24"/>
          <w:lang w:val="en-US"/>
        </w:rPr>
        <w:t xml:space="preserve">any </w:t>
      </w:r>
      <w:r w:rsidR="004E734C">
        <w:rPr>
          <w:rFonts w:ascii="Book Antiqua" w:hAnsi="Book Antiqua" w:cs="Times New Roman"/>
          <w:sz w:val="24"/>
          <w:szCs w:val="24"/>
          <w:lang w:val="en-US"/>
        </w:rPr>
        <w:t>unmanageable</w:t>
      </w:r>
      <w:r w:rsidR="00AD0BF0">
        <w:rPr>
          <w:rFonts w:ascii="Book Antiqua" w:hAnsi="Book Antiqua" w:cs="Times New Roman"/>
          <w:sz w:val="24"/>
          <w:szCs w:val="24"/>
          <w:lang w:val="en-US"/>
        </w:rPr>
        <w:t xml:space="preserve"> financial stress because of the Grand Bahama and Abaco outages.  </w:t>
      </w:r>
      <w:r w:rsidR="004E734C">
        <w:rPr>
          <w:rFonts w:ascii="Book Antiqua" w:hAnsi="Book Antiqua" w:cs="Times New Roman"/>
          <w:sz w:val="24"/>
          <w:szCs w:val="24"/>
          <w:lang w:val="en-US"/>
        </w:rPr>
        <w:t>These institutions</w:t>
      </w:r>
      <w:r w:rsidR="00AD0BF0">
        <w:rPr>
          <w:rFonts w:ascii="Book Antiqua" w:hAnsi="Book Antiqua" w:cs="Times New Roman"/>
          <w:sz w:val="24"/>
          <w:szCs w:val="24"/>
          <w:lang w:val="en-US"/>
        </w:rPr>
        <w:t xml:space="preserve"> have comfortable levels of capital to absorb any losses that might materialize, and </w:t>
      </w:r>
      <w:r w:rsidR="004E734C">
        <w:rPr>
          <w:rFonts w:ascii="Book Antiqua" w:hAnsi="Book Antiqua" w:cs="Times New Roman"/>
          <w:sz w:val="24"/>
          <w:szCs w:val="24"/>
          <w:lang w:val="en-US"/>
        </w:rPr>
        <w:t xml:space="preserve">they </w:t>
      </w:r>
      <w:r w:rsidR="00AD0BF0">
        <w:rPr>
          <w:rFonts w:ascii="Book Antiqua" w:hAnsi="Book Antiqua" w:cs="Times New Roman"/>
          <w:sz w:val="24"/>
          <w:szCs w:val="24"/>
          <w:lang w:val="en-US"/>
        </w:rPr>
        <w:t xml:space="preserve">are still collectively in a position where their capital levels </w:t>
      </w:r>
      <w:r w:rsidR="00210289">
        <w:rPr>
          <w:rFonts w:ascii="Book Antiqua" w:hAnsi="Book Antiqua" w:cs="Times New Roman"/>
          <w:sz w:val="24"/>
          <w:szCs w:val="24"/>
          <w:lang w:val="en-US"/>
        </w:rPr>
        <w:t xml:space="preserve">will </w:t>
      </w:r>
      <w:r w:rsidR="00AD0BF0">
        <w:rPr>
          <w:rFonts w:ascii="Book Antiqua" w:hAnsi="Book Antiqua" w:cs="Times New Roman"/>
          <w:sz w:val="24"/>
          <w:szCs w:val="24"/>
          <w:lang w:val="en-US"/>
        </w:rPr>
        <w:t>need to be reduced over the medium</w:t>
      </w:r>
      <w:r w:rsidR="0093400E">
        <w:rPr>
          <w:rFonts w:ascii="Book Antiqua" w:hAnsi="Book Antiqua" w:cs="Times New Roman"/>
          <w:sz w:val="24"/>
          <w:szCs w:val="24"/>
          <w:lang w:val="en-US"/>
        </w:rPr>
        <w:t>-</w:t>
      </w:r>
      <w:r w:rsidR="00AD0BF0">
        <w:rPr>
          <w:rFonts w:ascii="Book Antiqua" w:hAnsi="Book Antiqua" w:cs="Times New Roman"/>
          <w:sz w:val="24"/>
          <w:szCs w:val="24"/>
          <w:lang w:val="en-US"/>
        </w:rPr>
        <w:t xml:space="preserve">term.  </w:t>
      </w:r>
      <w:r w:rsidR="00036025">
        <w:rPr>
          <w:rFonts w:ascii="Book Antiqua" w:hAnsi="Book Antiqua" w:cs="Times New Roman"/>
          <w:sz w:val="24"/>
          <w:szCs w:val="24"/>
          <w:lang w:val="en-US"/>
        </w:rPr>
        <w:t xml:space="preserve">Most of </w:t>
      </w:r>
      <w:r w:rsidR="00C606D2">
        <w:rPr>
          <w:rFonts w:ascii="Book Antiqua" w:hAnsi="Book Antiqua" w:cs="Times New Roman"/>
          <w:sz w:val="24"/>
          <w:szCs w:val="24"/>
          <w:lang w:val="en-US"/>
        </w:rPr>
        <w:t xml:space="preserve">banks’ </w:t>
      </w:r>
      <w:r w:rsidR="00036025">
        <w:rPr>
          <w:rFonts w:ascii="Book Antiqua" w:hAnsi="Book Antiqua" w:cs="Times New Roman"/>
          <w:sz w:val="24"/>
          <w:szCs w:val="24"/>
          <w:lang w:val="en-US"/>
        </w:rPr>
        <w:t>credit exposures are to</w:t>
      </w:r>
      <w:r w:rsidR="00AB0542" w:rsidRPr="00B4523E">
        <w:rPr>
          <w:rFonts w:ascii="Book Antiqua" w:hAnsi="Book Antiqua" w:cs="Times New Roman"/>
          <w:sz w:val="24"/>
          <w:szCs w:val="24"/>
          <w:lang w:val="en-US"/>
        </w:rPr>
        <w:t xml:space="preserve"> New Providence</w:t>
      </w:r>
      <w:r w:rsidR="001076DE">
        <w:rPr>
          <w:rFonts w:ascii="Book Antiqua" w:hAnsi="Book Antiqua" w:cs="Times New Roman"/>
          <w:sz w:val="24"/>
          <w:szCs w:val="24"/>
          <w:lang w:val="en-US"/>
        </w:rPr>
        <w:t xml:space="preserve">, </w:t>
      </w:r>
      <w:r w:rsidR="00036025">
        <w:rPr>
          <w:rFonts w:ascii="Book Antiqua" w:hAnsi="Book Antiqua" w:cs="Times New Roman"/>
          <w:sz w:val="24"/>
          <w:szCs w:val="24"/>
          <w:lang w:val="en-US"/>
        </w:rPr>
        <w:t>where economic activities remain intact</w:t>
      </w:r>
      <w:r w:rsidR="00AB0542" w:rsidRPr="00B4523E">
        <w:rPr>
          <w:rFonts w:ascii="Book Antiqua" w:hAnsi="Book Antiqua" w:cs="Times New Roman"/>
          <w:sz w:val="24"/>
          <w:szCs w:val="24"/>
          <w:lang w:val="en-US"/>
        </w:rPr>
        <w:t>.</w:t>
      </w:r>
      <w:r w:rsidR="00D859D7" w:rsidRPr="00B4523E">
        <w:rPr>
          <w:rFonts w:ascii="Book Antiqua" w:hAnsi="Book Antiqua" w:cs="Times New Roman"/>
          <w:sz w:val="24"/>
          <w:szCs w:val="24"/>
          <w:lang w:val="en-US"/>
        </w:rPr>
        <w:t xml:space="preserve">  </w:t>
      </w:r>
      <w:r w:rsidR="00782A6D">
        <w:rPr>
          <w:rFonts w:ascii="Book Antiqua" w:hAnsi="Book Antiqua" w:cs="Times New Roman"/>
          <w:sz w:val="24"/>
          <w:szCs w:val="24"/>
          <w:lang w:val="en-US"/>
        </w:rPr>
        <w:t>The Central Bank’s</w:t>
      </w:r>
      <w:r w:rsidR="004E734C">
        <w:rPr>
          <w:rFonts w:ascii="Book Antiqua" w:hAnsi="Book Antiqua" w:cs="Times New Roman"/>
          <w:sz w:val="24"/>
          <w:szCs w:val="24"/>
          <w:lang w:val="en-US"/>
        </w:rPr>
        <w:t xml:space="preserve"> stress testing </w:t>
      </w:r>
      <w:r w:rsidR="00782A6D">
        <w:rPr>
          <w:rFonts w:ascii="Book Antiqua" w:hAnsi="Book Antiqua" w:cs="Times New Roman"/>
          <w:sz w:val="24"/>
          <w:szCs w:val="24"/>
          <w:lang w:val="en-US"/>
        </w:rPr>
        <w:t>simulations</w:t>
      </w:r>
      <w:r w:rsidR="00036025">
        <w:rPr>
          <w:rFonts w:ascii="Book Antiqua" w:hAnsi="Book Antiqua" w:cs="Times New Roman"/>
          <w:sz w:val="24"/>
          <w:szCs w:val="24"/>
          <w:lang w:val="en-US"/>
        </w:rPr>
        <w:t xml:space="preserve"> show that </w:t>
      </w:r>
      <w:r w:rsidR="00782A6D">
        <w:rPr>
          <w:rFonts w:ascii="Book Antiqua" w:hAnsi="Book Antiqua" w:cs="Times New Roman"/>
          <w:sz w:val="24"/>
          <w:szCs w:val="24"/>
          <w:lang w:val="en-US"/>
        </w:rPr>
        <w:t xml:space="preserve">in a very severe, major </w:t>
      </w:r>
      <w:r w:rsidR="00411931">
        <w:rPr>
          <w:rFonts w:ascii="Book Antiqua" w:hAnsi="Book Antiqua" w:cs="Times New Roman"/>
          <w:sz w:val="24"/>
          <w:szCs w:val="24"/>
          <w:lang w:val="en-US"/>
        </w:rPr>
        <w:t>h</w:t>
      </w:r>
      <w:r w:rsidR="00782A6D">
        <w:rPr>
          <w:rFonts w:ascii="Book Antiqua" w:hAnsi="Book Antiqua" w:cs="Times New Roman"/>
          <w:sz w:val="24"/>
          <w:szCs w:val="24"/>
          <w:lang w:val="en-US"/>
        </w:rPr>
        <w:t xml:space="preserve">urricane, </w:t>
      </w:r>
      <w:r w:rsidR="001076DE">
        <w:rPr>
          <w:rFonts w:ascii="Book Antiqua" w:hAnsi="Book Antiqua" w:cs="Times New Roman"/>
          <w:sz w:val="24"/>
          <w:szCs w:val="24"/>
          <w:lang w:val="en-US"/>
        </w:rPr>
        <w:t xml:space="preserve">that might </w:t>
      </w:r>
      <w:r w:rsidR="00140CC1">
        <w:rPr>
          <w:rFonts w:ascii="Book Antiqua" w:hAnsi="Book Antiqua" w:cs="Times New Roman"/>
          <w:sz w:val="24"/>
          <w:szCs w:val="24"/>
          <w:lang w:val="en-US"/>
        </w:rPr>
        <w:t xml:space="preserve">be the case if </w:t>
      </w:r>
      <w:r w:rsidR="00CA3E18">
        <w:rPr>
          <w:rFonts w:ascii="Book Antiqua" w:hAnsi="Book Antiqua" w:cs="Times New Roman"/>
          <w:sz w:val="24"/>
          <w:szCs w:val="24"/>
          <w:lang w:val="en-US"/>
        </w:rPr>
        <w:t>damages</w:t>
      </w:r>
      <w:r w:rsidR="00140CC1">
        <w:rPr>
          <w:rFonts w:ascii="Book Antiqua" w:hAnsi="Book Antiqua" w:cs="Times New Roman"/>
          <w:sz w:val="24"/>
          <w:szCs w:val="24"/>
          <w:lang w:val="en-US"/>
        </w:rPr>
        <w:t xml:space="preserve"> were concentrated in New Providence, </w:t>
      </w:r>
      <w:r w:rsidR="00782A6D">
        <w:rPr>
          <w:rFonts w:ascii="Book Antiqua" w:hAnsi="Book Antiqua" w:cs="Times New Roman"/>
          <w:sz w:val="24"/>
          <w:szCs w:val="24"/>
          <w:lang w:val="en-US"/>
        </w:rPr>
        <w:t xml:space="preserve">banks could face </w:t>
      </w:r>
      <w:r w:rsidR="00A35F88">
        <w:rPr>
          <w:rFonts w:ascii="Book Antiqua" w:hAnsi="Book Antiqua" w:cs="Times New Roman"/>
          <w:sz w:val="24"/>
          <w:szCs w:val="24"/>
          <w:lang w:val="en-US"/>
        </w:rPr>
        <w:t xml:space="preserve">significant loan </w:t>
      </w:r>
      <w:r w:rsidR="00CA3E18">
        <w:rPr>
          <w:rFonts w:ascii="Book Antiqua" w:hAnsi="Book Antiqua" w:cs="Times New Roman"/>
          <w:sz w:val="24"/>
          <w:szCs w:val="24"/>
          <w:lang w:val="en-US"/>
        </w:rPr>
        <w:t>losses</w:t>
      </w:r>
      <w:r w:rsidR="00782A6D">
        <w:rPr>
          <w:rFonts w:ascii="Book Antiqua" w:hAnsi="Book Antiqua" w:cs="Times New Roman"/>
          <w:sz w:val="24"/>
          <w:szCs w:val="24"/>
          <w:lang w:val="en-US"/>
        </w:rPr>
        <w:t xml:space="preserve">, but would </w:t>
      </w:r>
      <w:r w:rsidR="0093400E">
        <w:rPr>
          <w:rFonts w:ascii="Book Antiqua" w:hAnsi="Book Antiqua" w:cs="Times New Roman"/>
          <w:sz w:val="24"/>
          <w:szCs w:val="24"/>
          <w:lang w:val="en-US"/>
        </w:rPr>
        <w:t xml:space="preserve">still </w:t>
      </w:r>
      <w:r w:rsidR="00782A6D">
        <w:rPr>
          <w:rFonts w:ascii="Book Antiqua" w:hAnsi="Book Antiqua" w:cs="Times New Roman"/>
          <w:sz w:val="24"/>
          <w:szCs w:val="24"/>
          <w:lang w:val="en-US"/>
        </w:rPr>
        <w:t>be able to withstand the setback generally, from their existing capital buffers.</w:t>
      </w:r>
      <w:r w:rsidR="004E734C">
        <w:rPr>
          <w:rStyle w:val="FootnoteReference"/>
          <w:rFonts w:ascii="Book Antiqua" w:hAnsi="Book Antiqua" w:cs="Times New Roman"/>
          <w:sz w:val="24"/>
          <w:szCs w:val="24"/>
          <w:lang w:val="en-US"/>
        </w:rPr>
        <w:footnoteReference w:id="3"/>
      </w:r>
      <w:r w:rsidR="00782A6D">
        <w:rPr>
          <w:rFonts w:ascii="Book Antiqua" w:hAnsi="Book Antiqua" w:cs="Times New Roman"/>
          <w:sz w:val="24"/>
          <w:szCs w:val="24"/>
          <w:lang w:val="en-US"/>
        </w:rPr>
        <w:t xml:space="preserve">  Where this picture could evolve </w:t>
      </w:r>
      <w:r w:rsidR="00A20529">
        <w:rPr>
          <w:rFonts w:ascii="Book Antiqua" w:hAnsi="Book Antiqua" w:cs="Times New Roman"/>
          <w:sz w:val="24"/>
          <w:szCs w:val="24"/>
          <w:lang w:val="en-US"/>
        </w:rPr>
        <w:t xml:space="preserve">in an unsettling fashion </w:t>
      </w:r>
      <w:r w:rsidR="00782A6D">
        <w:rPr>
          <w:rFonts w:ascii="Book Antiqua" w:hAnsi="Book Antiqua" w:cs="Times New Roman"/>
          <w:sz w:val="24"/>
          <w:szCs w:val="24"/>
          <w:lang w:val="en-US"/>
        </w:rPr>
        <w:t>however, is changing expectations on the frequency of major shocks, since the system would need sufficient time to recover between event</w:t>
      </w:r>
      <w:r w:rsidR="004E734C">
        <w:rPr>
          <w:rFonts w:ascii="Book Antiqua" w:hAnsi="Book Antiqua" w:cs="Times New Roman"/>
          <w:sz w:val="24"/>
          <w:szCs w:val="24"/>
          <w:lang w:val="en-US"/>
        </w:rPr>
        <w:t>s</w:t>
      </w:r>
      <w:r w:rsidR="00782A6D">
        <w:rPr>
          <w:rFonts w:ascii="Book Antiqua" w:hAnsi="Book Antiqua" w:cs="Times New Roman"/>
          <w:sz w:val="24"/>
          <w:szCs w:val="24"/>
          <w:lang w:val="en-US"/>
        </w:rPr>
        <w:t xml:space="preserve">.  </w:t>
      </w:r>
      <w:r w:rsidR="004E734C">
        <w:rPr>
          <w:rFonts w:ascii="Book Antiqua" w:hAnsi="Book Antiqua" w:cs="Times New Roman"/>
          <w:sz w:val="24"/>
          <w:szCs w:val="24"/>
          <w:lang w:val="en-US"/>
        </w:rPr>
        <w:t>T</w:t>
      </w:r>
      <w:r w:rsidR="00782A6D">
        <w:rPr>
          <w:rFonts w:ascii="Book Antiqua" w:hAnsi="Book Antiqua" w:cs="Times New Roman"/>
          <w:sz w:val="24"/>
          <w:szCs w:val="24"/>
          <w:lang w:val="en-US"/>
        </w:rPr>
        <w:t xml:space="preserve">his takes </w:t>
      </w:r>
      <w:r w:rsidR="004E734C">
        <w:rPr>
          <w:rFonts w:ascii="Book Antiqua" w:hAnsi="Book Antiqua" w:cs="Times New Roman"/>
          <w:sz w:val="24"/>
          <w:szCs w:val="24"/>
          <w:lang w:val="en-US"/>
        </w:rPr>
        <w:t xml:space="preserve">us </w:t>
      </w:r>
      <w:r w:rsidR="00782A6D">
        <w:rPr>
          <w:rFonts w:ascii="Book Antiqua" w:hAnsi="Book Antiqua" w:cs="Times New Roman"/>
          <w:sz w:val="24"/>
          <w:szCs w:val="24"/>
          <w:lang w:val="en-US"/>
        </w:rPr>
        <w:t xml:space="preserve">back to the </w:t>
      </w:r>
      <w:r w:rsidR="004E734C">
        <w:rPr>
          <w:rFonts w:ascii="Book Antiqua" w:hAnsi="Book Antiqua" w:cs="Times New Roman"/>
          <w:sz w:val="24"/>
          <w:szCs w:val="24"/>
          <w:lang w:val="en-US"/>
        </w:rPr>
        <w:t xml:space="preserve">issue </w:t>
      </w:r>
      <w:r w:rsidR="00782A6D">
        <w:rPr>
          <w:rFonts w:ascii="Book Antiqua" w:hAnsi="Book Antiqua" w:cs="Times New Roman"/>
          <w:sz w:val="24"/>
          <w:szCs w:val="24"/>
          <w:lang w:val="en-US"/>
        </w:rPr>
        <w:t xml:space="preserve">of </w:t>
      </w:r>
      <w:r w:rsidR="004E734C">
        <w:rPr>
          <w:rFonts w:ascii="Book Antiqua" w:hAnsi="Book Antiqua" w:cs="Times New Roman"/>
          <w:sz w:val="24"/>
          <w:szCs w:val="24"/>
          <w:lang w:val="en-US"/>
        </w:rPr>
        <w:t>having</w:t>
      </w:r>
      <w:r w:rsidR="00150DB7">
        <w:rPr>
          <w:rFonts w:ascii="Book Antiqua" w:hAnsi="Book Antiqua" w:cs="Times New Roman"/>
          <w:sz w:val="24"/>
          <w:szCs w:val="24"/>
          <w:lang w:val="en-US"/>
        </w:rPr>
        <w:t xml:space="preserve"> overall </w:t>
      </w:r>
      <w:r w:rsidR="004E734C">
        <w:rPr>
          <w:rFonts w:ascii="Book Antiqua" w:hAnsi="Book Antiqua" w:cs="Times New Roman"/>
          <w:sz w:val="24"/>
          <w:szCs w:val="24"/>
          <w:lang w:val="en-US"/>
        </w:rPr>
        <w:t xml:space="preserve">macroeconomic </w:t>
      </w:r>
      <w:r w:rsidR="00782A6D">
        <w:rPr>
          <w:rFonts w:ascii="Book Antiqua" w:hAnsi="Book Antiqua" w:cs="Times New Roman"/>
          <w:sz w:val="24"/>
          <w:szCs w:val="24"/>
          <w:lang w:val="en-US"/>
        </w:rPr>
        <w:t xml:space="preserve">resilience, </w:t>
      </w:r>
      <w:r w:rsidR="00150DB7">
        <w:rPr>
          <w:rFonts w:ascii="Book Antiqua" w:hAnsi="Book Antiqua" w:cs="Times New Roman"/>
          <w:sz w:val="24"/>
          <w:szCs w:val="24"/>
          <w:lang w:val="en-US"/>
        </w:rPr>
        <w:t>to</w:t>
      </w:r>
      <w:r w:rsidR="00782A6D">
        <w:rPr>
          <w:rFonts w:ascii="Book Antiqua" w:hAnsi="Book Antiqua" w:cs="Times New Roman"/>
          <w:sz w:val="24"/>
          <w:szCs w:val="24"/>
          <w:lang w:val="en-US"/>
        </w:rPr>
        <w:t xml:space="preserve"> contain the extent of losses for any major </w:t>
      </w:r>
      <w:r w:rsidR="003C6BD6">
        <w:rPr>
          <w:rFonts w:ascii="Book Antiqua" w:hAnsi="Book Antiqua" w:cs="Times New Roman"/>
          <w:sz w:val="24"/>
          <w:szCs w:val="24"/>
          <w:lang w:val="en-US"/>
        </w:rPr>
        <w:t xml:space="preserve">or successive </w:t>
      </w:r>
      <w:r w:rsidR="00782A6D">
        <w:rPr>
          <w:rFonts w:ascii="Book Antiqua" w:hAnsi="Book Antiqua" w:cs="Times New Roman"/>
          <w:sz w:val="24"/>
          <w:szCs w:val="24"/>
          <w:lang w:val="en-US"/>
        </w:rPr>
        <w:t>storm</w:t>
      </w:r>
      <w:r w:rsidR="003C6BD6">
        <w:rPr>
          <w:rFonts w:ascii="Book Antiqua" w:hAnsi="Book Antiqua" w:cs="Times New Roman"/>
          <w:sz w:val="24"/>
          <w:szCs w:val="24"/>
          <w:lang w:val="en-US"/>
        </w:rPr>
        <w:t>s</w:t>
      </w:r>
      <w:r w:rsidR="00782A6D">
        <w:rPr>
          <w:rFonts w:ascii="Book Antiqua" w:hAnsi="Book Antiqua" w:cs="Times New Roman"/>
          <w:sz w:val="24"/>
          <w:szCs w:val="24"/>
          <w:lang w:val="en-US"/>
        </w:rPr>
        <w:t>.</w:t>
      </w:r>
    </w:p>
    <w:p w14:paraId="42A2121F" w14:textId="1C2737CD" w:rsidR="00B751A3" w:rsidRPr="004E734C" w:rsidRDefault="00D859D7" w:rsidP="00B751A3">
      <w:pPr>
        <w:spacing w:line="360" w:lineRule="auto"/>
        <w:jc w:val="both"/>
        <w:rPr>
          <w:rFonts w:ascii="Book Antiqua" w:hAnsi="Book Antiqua" w:cs="Times New Roman"/>
          <w:sz w:val="24"/>
          <w:szCs w:val="24"/>
          <w:lang w:val="en-US"/>
        </w:rPr>
      </w:pPr>
      <w:r w:rsidRPr="00B4523E">
        <w:rPr>
          <w:rFonts w:ascii="Book Antiqua" w:hAnsi="Book Antiqua" w:cs="Times New Roman"/>
          <w:sz w:val="24"/>
          <w:szCs w:val="24"/>
          <w:lang w:val="en-US"/>
        </w:rPr>
        <w:t>In terms of financial sector exposure, commercial banks’ credit portfolio for Grand Bahama and Abaco totaled approximately $</w:t>
      </w:r>
      <w:r w:rsidR="003C6BD6">
        <w:rPr>
          <w:rFonts w:ascii="Book Antiqua" w:hAnsi="Book Antiqua" w:cs="Times New Roman"/>
          <w:sz w:val="24"/>
          <w:szCs w:val="24"/>
          <w:lang w:val="en-US"/>
        </w:rPr>
        <w:t>830</w:t>
      </w:r>
      <w:r w:rsidRPr="00B4523E">
        <w:rPr>
          <w:rFonts w:ascii="Book Antiqua" w:hAnsi="Book Antiqua" w:cs="Times New Roman"/>
          <w:sz w:val="24"/>
          <w:szCs w:val="24"/>
          <w:lang w:val="en-US"/>
        </w:rPr>
        <w:t xml:space="preserve"> million over the July-September 2019 reporting period, which accounted for around 14.8%</w:t>
      </w:r>
      <w:r w:rsidR="002E1DDA">
        <w:rPr>
          <w:rFonts w:ascii="Book Antiqua" w:hAnsi="Book Antiqua" w:cs="Times New Roman"/>
          <w:sz w:val="24"/>
          <w:szCs w:val="24"/>
          <w:lang w:val="en-US"/>
        </w:rPr>
        <w:t xml:space="preserve"> </w:t>
      </w:r>
      <w:r w:rsidRPr="00B4523E">
        <w:rPr>
          <w:rFonts w:ascii="Book Antiqua" w:hAnsi="Book Antiqua" w:cs="Times New Roman"/>
          <w:sz w:val="24"/>
          <w:szCs w:val="24"/>
          <w:lang w:val="en-US"/>
        </w:rPr>
        <w:t xml:space="preserve">of total private sector credit.  </w:t>
      </w:r>
      <w:r w:rsidR="00E94AFF">
        <w:rPr>
          <w:rFonts w:ascii="Book Antiqua" w:hAnsi="Book Antiqua" w:cs="Times New Roman"/>
          <w:sz w:val="24"/>
          <w:szCs w:val="24"/>
          <w:lang w:val="en-US"/>
        </w:rPr>
        <w:t xml:space="preserve">Collectively just over half of the exposures </w:t>
      </w:r>
      <w:r w:rsidR="00DC5269">
        <w:rPr>
          <w:rFonts w:ascii="Book Antiqua" w:hAnsi="Book Antiqua" w:cs="Times New Roman"/>
          <w:sz w:val="24"/>
          <w:szCs w:val="24"/>
          <w:lang w:val="en-US"/>
        </w:rPr>
        <w:t xml:space="preserve">were </w:t>
      </w:r>
      <w:r w:rsidR="00E94AFF">
        <w:rPr>
          <w:rFonts w:ascii="Book Antiqua" w:hAnsi="Book Antiqua" w:cs="Times New Roman"/>
          <w:sz w:val="24"/>
          <w:szCs w:val="24"/>
          <w:lang w:val="en-US"/>
        </w:rPr>
        <w:t>mortgages.  Moreover, Grand Bahama represent</w:t>
      </w:r>
      <w:r w:rsidR="004E734C">
        <w:rPr>
          <w:rFonts w:ascii="Book Antiqua" w:hAnsi="Book Antiqua" w:cs="Times New Roman"/>
          <w:sz w:val="24"/>
          <w:szCs w:val="24"/>
          <w:lang w:val="en-US"/>
        </w:rPr>
        <w:t>ed</w:t>
      </w:r>
      <w:r w:rsidR="00E94AFF">
        <w:rPr>
          <w:rFonts w:ascii="Book Antiqua" w:hAnsi="Book Antiqua" w:cs="Times New Roman"/>
          <w:sz w:val="24"/>
          <w:szCs w:val="24"/>
          <w:lang w:val="en-US"/>
        </w:rPr>
        <w:t xml:space="preserve"> about </w:t>
      </w:r>
      <w:r w:rsidR="004E734C">
        <w:rPr>
          <w:rFonts w:ascii="Book Antiqua" w:hAnsi="Book Antiqua" w:cs="Times New Roman"/>
          <w:sz w:val="24"/>
          <w:szCs w:val="24"/>
          <w:lang w:val="en-US"/>
        </w:rPr>
        <w:t>four-fifths</w:t>
      </w:r>
      <w:r w:rsidR="00A6553C">
        <w:rPr>
          <w:rFonts w:ascii="Book Antiqua" w:hAnsi="Book Antiqua" w:cs="Times New Roman"/>
          <w:sz w:val="24"/>
          <w:szCs w:val="24"/>
          <w:lang w:val="en-US"/>
        </w:rPr>
        <w:t xml:space="preserve"> of </w:t>
      </w:r>
      <w:r w:rsidR="004E734C">
        <w:rPr>
          <w:rFonts w:ascii="Book Antiqua" w:hAnsi="Book Antiqua" w:cs="Times New Roman"/>
          <w:sz w:val="24"/>
          <w:szCs w:val="24"/>
          <w:lang w:val="en-US"/>
        </w:rPr>
        <w:t>the total credit</w:t>
      </w:r>
      <w:r w:rsidR="002E1DDA">
        <w:rPr>
          <w:rFonts w:ascii="Book Antiqua" w:hAnsi="Book Antiqua" w:cs="Times New Roman"/>
          <w:sz w:val="24"/>
          <w:szCs w:val="24"/>
          <w:lang w:val="en-US"/>
        </w:rPr>
        <w:t>—</w:t>
      </w:r>
      <w:r w:rsidR="00E94AFF">
        <w:rPr>
          <w:rFonts w:ascii="Book Antiqua" w:hAnsi="Book Antiqua" w:cs="Times New Roman"/>
          <w:sz w:val="24"/>
          <w:szCs w:val="24"/>
          <w:lang w:val="en-US"/>
        </w:rPr>
        <w:t xml:space="preserve">which is good in the context </w:t>
      </w:r>
      <w:r w:rsidR="00E94AFF">
        <w:rPr>
          <w:rFonts w:ascii="Book Antiqua" w:hAnsi="Book Antiqua" w:cs="Times New Roman"/>
          <w:sz w:val="24"/>
          <w:szCs w:val="24"/>
          <w:lang w:val="en-US"/>
        </w:rPr>
        <w:lastRenderedPageBreak/>
        <w:t xml:space="preserve">of the faster pace at which </w:t>
      </w:r>
      <w:r w:rsidR="00DC5269">
        <w:rPr>
          <w:rFonts w:ascii="Book Antiqua" w:hAnsi="Book Antiqua" w:cs="Times New Roman"/>
          <w:sz w:val="24"/>
          <w:szCs w:val="24"/>
          <w:lang w:val="en-US"/>
        </w:rPr>
        <w:t xml:space="preserve">this sub-economy </w:t>
      </w:r>
      <w:r w:rsidR="00F62A14">
        <w:rPr>
          <w:rFonts w:ascii="Book Antiqua" w:hAnsi="Book Antiqua" w:cs="Times New Roman"/>
          <w:sz w:val="24"/>
          <w:szCs w:val="24"/>
          <w:lang w:val="en-US"/>
        </w:rPr>
        <w:t>is expected</w:t>
      </w:r>
      <w:r w:rsidR="00E94AFF">
        <w:rPr>
          <w:rFonts w:ascii="Book Antiqua" w:hAnsi="Book Antiqua" w:cs="Times New Roman"/>
          <w:sz w:val="24"/>
          <w:szCs w:val="24"/>
          <w:lang w:val="en-US"/>
        </w:rPr>
        <w:t xml:space="preserve"> </w:t>
      </w:r>
      <w:r w:rsidR="002E1DDA">
        <w:rPr>
          <w:rFonts w:ascii="Book Antiqua" w:hAnsi="Book Antiqua" w:cs="Times New Roman"/>
          <w:sz w:val="24"/>
          <w:szCs w:val="24"/>
          <w:lang w:val="en-US"/>
        </w:rPr>
        <w:t xml:space="preserve">to </w:t>
      </w:r>
      <w:r w:rsidR="00E94AFF">
        <w:rPr>
          <w:rFonts w:ascii="Book Antiqua" w:hAnsi="Book Antiqua" w:cs="Times New Roman"/>
          <w:sz w:val="24"/>
          <w:szCs w:val="24"/>
          <w:lang w:val="en-US"/>
        </w:rPr>
        <w:t>recover.</w:t>
      </w:r>
      <w:r w:rsidR="00A6553C">
        <w:rPr>
          <w:rStyle w:val="FootnoteReference"/>
          <w:rFonts w:ascii="Book Antiqua" w:hAnsi="Book Antiqua" w:cs="Times New Roman"/>
          <w:sz w:val="24"/>
          <w:szCs w:val="24"/>
          <w:lang w:val="en-US"/>
        </w:rPr>
        <w:footnoteReference w:id="4"/>
      </w:r>
      <w:r w:rsidR="00E94AFF">
        <w:rPr>
          <w:rFonts w:ascii="Book Antiqua" w:hAnsi="Book Antiqua" w:cs="Times New Roman"/>
          <w:sz w:val="24"/>
          <w:szCs w:val="24"/>
          <w:lang w:val="en-US"/>
        </w:rPr>
        <w:t xml:space="preserve">  At the outset</w:t>
      </w:r>
      <w:r w:rsidR="00E23861">
        <w:rPr>
          <w:rFonts w:ascii="Book Antiqua" w:hAnsi="Book Antiqua" w:cs="Times New Roman"/>
          <w:sz w:val="24"/>
          <w:szCs w:val="24"/>
          <w:lang w:val="en-US"/>
        </w:rPr>
        <w:t>,</w:t>
      </w:r>
      <w:r w:rsidR="00E94AFF">
        <w:rPr>
          <w:rFonts w:ascii="Book Antiqua" w:hAnsi="Book Antiqua" w:cs="Times New Roman"/>
          <w:sz w:val="24"/>
          <w:szCs w:val="24"/>
          <w:lang w:val="en-US"/>
        </w:rPr>
        <w:t xml:space="preserve"> the non-performing loans rate was higher in these northern islands</w:t>
      </w:r>
      <w:r w:rsidR="00F72CE0">
        <w:rPr>
          <w:rFonts w:ascii="Book Antiqua" w:hAnsi="Book Antiqua" w:cs="Times New Roman"/>
          <w:sz w:val="24"/>
          <w:szCs w:val="24"/>
          <w:lang w:val="en-US"/>
        </w:rPr>
        <w:t>.</w:t>
      </w:r>
    </w:p>
    <w:p w14:paraId="19A8D8F7" w14:textId="15F4FED5" w:rsidR="00BD14C7" w:rsidRPr="00263791" w:rsidRDefault="008D41E7" w:rsidP="00B751A3">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As we consider the impact and recovery from Dorian, t</w:t>
      </w:r>
      <w:r w:rsidR="00B751A3" w:rsidRPr="00263791">
        <w:rPr>
          <w:rFonts w:ascii="Book Antiqua" w:hAnsi="Book Antiqua" w:cs="Times New Roman"/>
          <w:sz w:val="24"/>
          <w:szCs w:val="24"/>
          <w:lang w:val="en-US"/>
        </w:rPr>
        <w:t>he general outlook</w:t>
      </w:r>
      <w:r w:rsidR="00F62A14">
        <w:rPr>
          <w:rFonts w:ascii="Book Antiqua" w:hAnsi="Book Antiqua" w:cs="Times New Roman"/>
          <w:sz w:val="24"/>
          <w:szCs w:val="24"/>
          <w:lang w:val="en-US"/>
        </w:rPr>
        <w:t xml:space="preserve"> for the Bahamian economy is for </w:t>
      </w:r>
      <w:r w:rsidR="000D5567">
        <w:rPr>
          <w:rFonts w:ascii="Book Antiqua" w:hAnsi="Book Antiqua" w:cs="Times New Roman"/>
          <w:sz w:val="24"/>
          <w:szCs w:val="24"/>
          <w:lang w:val="en-US"/>
        </w:rPr>
        <w:t xml:space="preserve">some </w:t>
      </w:r>
      <w:r w:rsidR="00F62A14">
        <w:rPr>
          <w:rFonts w:ascii="Book Antiqua" w:hAnsi="Book Antiqua" w:cs="Times New Roman"/>
          <w:sz w:val="24"/>
          <w:szCs w:val="24"/>
          <w:lang w:val="en-US"/>
        </w:rPr>
        <w:t xml:space="preserve">setback in the </w:t>
      </w:r>
      <w:r w:rsidR="00B751A3" w:rsidRPr="00263791">
        <w:rPr>
          <w:rFonts w:ascii="Book Antiqua" w:hAnsi="Book Antiqua" w:cs="Times New Roman"/>
          <w:sz w:val="24"/>
          <w:szCs w:val="24"/>
          <w:lang w:val="en-US"/>
        </w:rPr>
        <w:t>near-term</w:t>
      </w:r>
      <w:r w:rsidR="00F62A14">
        <w:rPr>
          <w:rFonts w:ascii="Book Antiqua" w:hAnsi="Book Antiqua" w:cs="Times New Roman"/>
          <w:sz w:val="24"/>
          <w:szCs w:val="24"/>
          <w:lang w:val="en-US"/>
        </w:rPr>
        <w:t xml:space="preserve">, with the revised growth </w:t>
      </w:r>
      <w:r w:rsidR="0037784A">
        <w:rPr>
          <w:rFonts w:ascii="Book Antiqua" w:hAnsi="Book Antiqua" w:cs="Times New Roman"/>
          <w:sz w:val="24"/>
          <w:szCs w:val="24"/>
          <w:lang w:val="en-US"/>
        </w:rPr>
        <w:t>projection still</w:t>
      </w:r>
      <w:r w:rsidR="000D5567">
        <w:rPr>
          <w:rFonts w:ascii="Book Antiqua" w:hAnsi="Book Antiqua" w:cs="Times New Roman"/>
          <w:sz w:val="24"/>
          <w:szCs w:val="24"/>
          <w:lang w:val="en-US"/>
        </w:rPr>
        <w:t xml:space="preserve"> </w:t>
      </w:r>
      <w:r w:rsidR="00BD14C7" w:rsidRPr="00263791">
        <w:rPr>
          <w:rFonts w:ascii="Book Antiqua" w:hAnsi="Book Antiqua" w:cs="Times New Roman"/>
          <w:sz w:val="24"/>
          <w:szCs w:val="24"/>
          <w:lang w:val="en-US"/>
        </w:rPr>
        <w:t>positive for 2019</w:t>
      </w:r>
      <w:r w:rsidR="00B751A3" w:rsidRPr="00263791">
        <w:rPr>
          <w:rFonts w:ascii="Book Antiqua" w:hAnsi="Book Antiqua" w:cs="Times New Roman"/>
          <w:sz w:val="24"/>
          <w:szCs w:val="24"/>
          <w:lang w:val="en-US"/>
        </w:rPr>
        <w:t xml:space="preserve">, </w:t>
      </w:r>
      <w:r w:rsidR="00BD14C7" w:rsidRPr="00263791">
        <w:rPr>
          <w:rFonts w:ascii="Book Antiqua" w:hAnsi="Book Antiqua" w:cs="Times New Roman"/>
          <w:sz w:val="24"/>
          <w:szCs w:val="24"/>
          <w:lang w:val="en-US"/>
        </w:rPr>
        <w:t xml:space="preserve">but at less than </w:t>
      </w:r>
      <w:r w:rsidR="00F62A14">
        <w:rPr>
          <w:rFonts w:ascii="Book Antiqua" w:hAnsi="Book Antiqua" w:cs="Times New Roman"/>
          <w:sz w:val="24"/>
          <w:szCs w:val="24"/>
          <w:lang w:val="en-US"/>
        </w:rPr>
        <w:t xml:space="preserve">the </w:t>
      </w:r>
      <w:r w:rsidR="00B751A3" w:rsidRPr="00263791">
        <w:rPr>
          <w:rFonts w:ascii="Book Antiqua" w:hAnsi="Book Antiqua" w:cs="Times New Roman"/>
          <w:sz w:val="24"/>
          <w:szCs w:val="24"/>
          <w:lang w:val="en-US"/>
        </w:rPr>
        <w:t xml:space="preserve">levels forecasted prior to the storm’s passage.  </w:t>
      </w:r>
      <w:r w:rsidR="00BD14C7" w:rsidRPr="00263791">
        <w:rPr>
          <w:rFonts w:ascii="Book Antiqua" w:hAnsi="Book Antiqua" w:cs="Times New Roman"/>
          <w:sz w:val="24"/>
          <w:szCs w:val="24"/>
          <w:lang w:val="en-US"/>
        </w:rPr>
        <w:t>I</w:t>
      </w:r>
      <w:r w:rsidR="00B751A3" w:rsidRPr="00263791">
        <w:rPr>
          <w:rFonts w:ascii="Book Antiqua" w:hAnsi="Book Antiqua" w:cs="Times New Roman"/>
          <w:sz w:val="24"/>
          <w:szCs w:val="24"/>
          <w:lang w:val="en-US"/>
        </w:rPr>
        <w:t>n 2020</w:t>
      </w:r>
      <w:r w:rsidR="00E23861">
        <w:rPr>
          <w:rFonts w:ascii="Book Antiqua" w:hAnsi="Book Antiqua" w:cs="Times New Roman"/>
          <w:sz w:val="24"/>
          <w:szCs w:val="24"/>
          <w:lang w:val="en-US"/>
        </w:rPr>
        <w:t xml:space="preserve">, </w:t>
      </w:r>
      <w:r w:rsidR="00BD14C7" w:rsidRPr="00263791">
        <w:rPr>
          <w:rFonts w:ascii="Book Antiqua" w:hAnsi="Book Antiqua" w:cs="Times New Roman"/>
          <w:sz w:val="24"/>
          <w:szCs w:val="24"/>
          <w:lang w:val="en-US"/>
        </w:rPr>
        <w:t xml:space="preserve">the outcome could be flat to negative, </w:t>
      </w:r>
      <w:r w:rsidR="00B751A3" w:rsidRPr="00263791">
        <w:rPr>
          <w:rFonts w:ascii="Book Antiqua" w:hAnsi="Book Antiqua" w:cs="Times New Roman"/>
          <w:sz w:val="24"/>
          <w:szCs w:val="24"/>
          <w:lang w:val="en-US"/>
        </w:rPr>
        <w:t xml:space="preserve">with a return to positive </w:t>
      </w:r>
      <w:r w:rsidR="00F62A14">
        <w:rPr>
          <w:rFonts w:ascii="Book Antiqua" w:hAnsi="Book Antiqua" w:cs="Times New Roman"/>
          <w:sz w:val="24"/>
          <w:szCs w:val="24"/>
          <w:lang w:val="en-US"/>
        </w:rPr>
        <w:t xml:space="preserve">territory </w:t>
      </w:r>
      <w:r w:rsidR="00BD14C7" w:rsidRPr="00263791">
        <w:rPr>
          <w:rFonts w:ascii="Book Antiqua" w:hAnsi="Book Antiqua" w:cs="Times New Roman"/>
          <w:sz w:val="24"/>
          <w:szCs w:val="24"/>
          <w:lang w:val="en-US"/>
        </w:rPr>
        <w:t xml:space="preserve">in </w:t>
      </w:r>
      <w:r w:rsidR="00A832F0">
        <w:rPr>
          <w:rFonts w:ascii="Book Antiqua" w:hAnsi="Book Antiqua" w:cs="Times New Roman"/>
          <w:sz w:val="24"/>
          <w:szCs w:val="24"/>
          <w:lang w:val="en-US"/>
        </w:rPr>
        <w:t>2021</w:t>
      </w:r>
      <w:r w:rsidR="00B751A3" w:rsidRPr="00263791">
        <w:rPr>
          <w:rFonts w:ascii="Book Antiqua" w:hAnsi="Book Antiqua" w:cs="Times New Roman"/>
          <w:sz w:val="24"/>
          <w:szCs w:val="24"/>
          <w:lang w:val="en-US"/>
        </w:rPr>
        <w:t>.  The recovery</w:t>
      </w:r>
      <w:r w:rsidR="00A832F0">
        <w:rPr>
          <w:rFonts w:ascii="Book Antiqua" w:hAnsi="Book Antiqua" w:cs="Times New Roman"/>
          <w:sz w:val="24"/>
          <w:szCs w:val="24"/>
          <w:lang w:val="en-US"/>
        </w:rPr>
        <w:t xml:space="preserve"> path</w:t>
      </w:r>
      <w:r w:rsidR="00B751A3" w:rsidRPr="00263791">
        <w:rPr>
          <w:rFonts w:ascii="Book Antiqua" w:hAnsi="Book Antiqua" w:cs="Times New Roman"/>
          <w:sz w:val="24"/>
          <w:szCs w:val="24"/>
          <w:lang w:val="en-US"/>
        </w:rPr>
        <w:t xml:space="preserve"> </w:t>
      </w:r>
      <w:r w:rsidR="00BD14C7" w:rsidRPr="00263791">
        <w:rPr>
          <w:rFonts w:ascii="Book Antiqua" w:hAnsi="Book Antiqua" w:cs="Times New Roman"/>
          <w:sz w:val="24"/>
          <w:szCs w:val="24"/>
          <w:lang w:val="en-US"/>
        </w:rPr>
        <w:t>in</w:t>
      </w:r>
      <w:r w:rsidR="00B751A3" w:rsidRPr="00263791">
        <w:rPr>
          <w:rFonts w:ascii="Book Antiqua" w:hAnsi="Book Antiqua" w:cs="Times New Roman"/>
          <w:sz w:val="24"/>
          <w:szCs w:val="24"/>
          <w:lang w:val="en-US"/>
        </w:rPr>
        <w:t xml:space="preserve"> both of the affected islands will initially be dominated by extensive rebuilding activities</w:t>
      </w:r>
      <w:r w:rsidR="00F62A14">
        <w:rPr>
          <w:rFonts w:ascii="Book Antiqua" w:hAnsi="Book Antiqua" w:cs="Times New Roman"/>
          <w:sz w:val="24"/>
          <w:szCs w:val="24"/>
          <w:lang w:val="en-US"/>
        </w:rPr>
        <w:t>,</w:t>
      </w:r>
      <w:r w:rsidR="00B751A3" w:rsidRPr="00263791">
        <w:rPr>
          <w:rFonts w:ascii="Book Antiqua" w:hAnsi="Book Antiqua" w:cs="Times New Roman"/>
          <w:sz w:val="24"/>
          <w:szCs w:val="24"/>
          <w:lang w:val="en-US"/>
        </w:rPr>
        <w:t xml:space="preserve"> which will heighten </w:t>
      </w:r>
      <w:r w:rsidR="00F62A14">
        <w:rPr>
          <w:rFonts w:ascii="Book Antiqua" w:hAnsi="Book Antiqua" w:cs="Times New Roman"/>
          <w:sz w:val="24"/>
          <w:szCs w:val="24"/>
          <w:lang w:val="en-US"/>
        </w:rPr>
        <w:t xml:space="preserve">the </w:t>
      </w:r>
      <w:r w:rsidR="00B751A3" w:rsidRPr="00263791">
        <w:rPr>
          <w:rFonts w:ascii="Book Antiqua" w:hAnsi="Book Antiqua" w:cs="Times New Roman"/>
          <w:sz w:val="24"/>
          <w:szCs w:val="24"/>
          <w:lang w:val="en-US"/>
        </w:rPr>
        <w:t xml:space="preserve">demand for construction-related skills and </w:t>
      </w:r>
      <w:r w:rsidR="00F62A14">
        <w:rPr>
          <w:rFonts w:ascii="Book Antiqua" w:hAnsi="Book Antiqua" w:cs="Times New Roman"/>
          <w:sz w:val="24"/>
          <w:szCs w:val="24"/>
          <w:lang w:val="en-US"/>
        </w:rPr>
        <w:t>services</w:t>
      </w:r>
      <w:r w:rsidR="00BD14C7" w:rsidRPr="00263791">
        <w:rPr>
          <w:rFonts w:ascii="Book Antiqua" w:hAnsi="Book Antiqua" w:cs="Times New Roman"/>
          <w:sz w:val="24"/>
          <w:szCs w:val="24"/>
          <w:lang w:val="en-US"/>
        </w:rPr>
        <w:t xml:space="preserve">.  This </w:t>
      </w:r>
      <w:r w:rsidR="00F62A14">
        <w:rPr>
          <w:rFonts w:ascii="Book Antiqua" w:hAnsi="Book Antiqua" w:cs="Times New Roman"/>
          <w:sz w:val="24"/>
          <w:szCs w:val="24"/>
          <w:lang w:val="en-US"/>
        </w:rPr>
        <w:t>should</w:t>
      </w:r>
      <w:r w:rsidR="00BD14C7" w:rsidRPr="00263791">
        <w:rPr>
          <w:rFonts w:ascii="Book Antiqua" w:hAnsi="Book Antiqua" w:cs="Times New Roman"/>
          <w:sz w:val="24"/>
          <w:szCs w:val="24"/>
          <w:lang w:val="en-US"/>
        </w:rPr>
        <w:t xml:space="preserve"> </w:t>
      </w:r>
      <w:r w:rsidR="00B751A3" w:rsidRPr="00263791">
        <w:rPr>
          <w:rFonts w:ascii="Book Antiqua" w:hAnsi="Book Antiqua" w:cs="Times New Roman"/>
          <w:sz w:val="24"/>
          <w:szCs w:val="24"/>
          <w:lang w:val="en-US"/>
        </w:rPr>
        <w:t xml:space="preserve">partially offset the </w:t>
      </w:r>
      <w:r w:rsidR="00F62A14">
        <w:rPr>
          <w:rFonts w:ascii="Book Antiqua" w:hAnsi="Book Antiqua" w:cs="Times New Roman"/>
          <w:sz w:val="24"/>
          <w:szCs w:val="24"/>
          <w:lang w:val="en-US"/>
        </w:rPr>
        <w:t xml:space="preserve">contraction in activities </w:t>
      </w:r>
      <w:r w:rsidR="00B751A3" w:rsidRPr="00263791">
        <w:rPr>
          <w:rFonts w:ascii="Book Antiqua" w:hAnsi="Book Antiqua" w:cs="Times New Roman"/>
          <w:sz w:val="24"/>
          <w:szCs w:val="24"/>
          <w:lang w:val="en-US"/>
        </w:rPr>
        <w:t>other</w:t>
      </w:r>
      <w:r w:rsidR="00BD14C7" w:rsidRPr="00263791">
        <w:rPr>
          <w:rFonts w:ascii="Book Antiqua" w:hAnsi="Book Antiqua" w:cs="Times New Roman"/>
          <w:sz w:val="24"/>
          <w:szCs w:val="24"/>
          <w:lang w:val="en-US"/>
        </w:rPr>
        <w:t xml:space="preserve"> </w:t>
      </w:r>
      <w:r w:rsidR="00F62A14">
        <w:rPr>
          <w:rFonts w:ascii="Book Antiqua" w:hAnsi="Book Antiqua" w:cs="Times New Roman"/>
          <w:sz w:val="24"/>
          <w:szCs w:val="24"/>
          <w:lang w:val="en-US"/>
        </w:rPr>
        <w:t xml:space="preserve">economic </w:t>
      </w:r>
      <w:r w:rsidR="00BD14C7" w:rsidRPr="00263791">
        <w:rPr>
          <w:rFonts w:ascii="Book Antiqua" w:hAnsi="Book Antiqua" w:cs="Times New Roman"/>
          <w:sz w:val="24"/>
          <w:szCs w:val="24"/>
          <w:lang w:val="en-US"/>
        </w:rPr>
        <w:t>sectors.</w:t>
      </w:r>
    </w:p>
    <w:p w14:paraId="1133ED1D" w14:textId="3A036E26" w:rsidR="00040533" w:rsidRPr="00263791" w:rsidRDefault="00F62A14" w:rsidP="00040533">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 xml:space="preserve">The </w:t>
      </w:r>
      <w:r w:rsidR="00B751A3" w:rsidRPr="00263791">
        <w:rPr>
          <w:rFonts w:ascii="Book Antiqua" w:hAnsi="Book Antiqua" w:cs="Times New Roman"/>
          <w:sz w:val="24"/>
          <w:szCs w:val="24"/>
          <w:lang w:val="en-US"/>
        </w:rPr>
        <w:t xml:space="preserve">private sector component of the rebuilding activity will be </w:t>
      </w:r>
      <w:r w:rsidR="00BD14C7" w:rsidRPr="00263791">
        <w:rPr>
          <w:rFonts w:ascii="Book Antiqua" w:hAnsi="Book Antiqua" w:cs="Times New Roman"/>
          <w:sz w:val="24"/>
          <w:szCs w:val="24"/>
          <w:lang w:val="en-US"/>
        </w:rPr>
        <w:t xml:space="preserve">partly </w:t>
      </w:r>
      <w:r w:rsidR="00B751A3" w:rsidRPr="00263791">
        <w:rPr>
          <w:rFonts w:ascii="Book Antiqua" w:hAnsi="Book Antiqua" w:cs="Times New Roman"/>
          <w:sz w:val="24"/>
          <w:szCs w:val="24"/>
          <w:lang w:val="en-US"/>
        </w:rPr>
        <w:t>financed by external reinsurance proceeds</w:t>
      </w:r>
      <w:r w:rsidR="00BD14C7" w:rsidRPr="00263791">
        <w:rPr>
          <w:rFonts w:ascii="Book Antiqua" w:hAnsi="Book Antiqua" w:cs="Times New Roman"/>
          <w:sz w:val="24"/>
          <w:szCs w:val="24"/>
          <w:lang w:val="en-US"/>
        </w:rPr>
        <w:t>.  T</w:t>
      </w:r>
      <w:r w:rsidR="00B751A3" w:rsidRPr="00263791">
        <w:rPr>
          <w:rFonts w:ascii="Book Antiqua" w:hAnsi="Book Antiqua" w:cs="Times New Roman"/>
          <w:sz w:val="24"/>
          <w:szCs w:val="24"/>
          <w:lang w:val="en-US"/>
        </w:rPr>
        <w:t>he Government</w:t>
      </w:r>
      <w:r w:rsidR="00BD14C7" w:rsidRPr="00263791">
        <w:rPr>
          <w:rFonts w:ascii="Book Antiqua" w:hAnsi="Book Antiqua" w:cs="Times New Roman"/>
          <w:sz w:val="24"/>
          <w:szCs w:val="24"/>
          <w:lang w:val="en-US"/>
        </w:rPr>
        <w:t xml:space="preserve"> will also rely on </w:t>
      </w:r>
      <w:r>
        <w:rPr>
          <w:rFonts w:ascii="Book Antiqua" w:hAnsi="Book Antiqua" w:cs="Times New Roman"/>
          <w:sz w:val="24"/>
          <w:szCs w:val="24"/>
          <w:lang w:val="en-US"/>
        </w:rPr>
        <w:t xml:space="preserve">foreign </w:t>
      </w:r>
      <w:r w:rsidR="00BD14C7" w:rsidRPr="00263791">
        <w:rPr>
          <w:rFonts w:ascii="Book Antiqua" w:hAnsi="Book Antiqua" w:cs="Times New Roman"/>
          <w:sz w:val="24"/>
          <w:szCs w:val="24"/>
          <w:lang w:val="en-US"/>
        </w:rPr>
        <w:t>currency resources.</w:t>
      </w:r>
      <w:r>
        <w:rPr>
          <w:rStyle w:val="FootnoteReference"/>
          <w:rFonts w:ascii="Book Antiqua" w:hAnsi="Book Antiqua" w:cs="Times New Roman"/>
          <w:sz w:val="24"/>
          <w:szCs w:val="24"/>
          <w:lang w:val="en-US"/>
        </w:rPr>
        <w:footnoteReference w:id="5"/>
      </w:r>
      <w:r w:rsidR="00BD14C7" w:rsidRPr="00263791">
        <w:rPr>
          <w:rFonts w:ascii="Book Antiqua" w:hAnsi="Book Antiqua" w:cs="Times New Roman"/>
          <w:sz w:val="24"/>
          <w:szCs w:val="24"/>
          <w:lang w:val="en-US"/>
        </w:rPr>
        <w:t xml:space="preserve">  This hints at an important element in our resilience to natural disasters</w:t>
      </w:r>
      <w:r>
        <w:rPr>
          <w:rFonts w:ascii="Book Antiqua" w:hAnsi="Book Antiqua" w:cs="Times New Roman"/>
          <w:sz w:val="24"/>
          <w:szCs w:val="24"/>
          <w:lang w:val="en-US"/>
        </w:rPr>
        <w:t>:</w:t>
      </w:r>
      <w:r w:rsidR="00BD14C7" w:rsidRPr="00263791">
        <w:rPr>
          <w:rFonts w:ascii="Book Antiqua" w:hAnsi="Book Antiqua" w:cs="Times New Roman"/>
          <w:sz w:val="24"/>
          <w:szCs w:val="24"/>
          <w:lang w:val="en-US"/>
        </w:rPr>
        <w:t xml:space="preserve">  </w:t>
      </w:r>
      <w:r w:rsidR="0037784A">
        <w:rPr>
          <w:rFonts w:ascii="Book Antiqua" w:hAnsi="Book Antiqua" w:cs="Times New Roman"/>
          <w:sz w:val="24"/>
          <w:szCs w:val="24"/>
          <w:lang w:val="en-US"/>
        </w:rPr>
        <w:t xml:space="preserve">that </w:t>
      </w:r>
      <w:r>
        <w:rPr>
          <w:rFonts w:ascii="Book Antiqua" w:hAnsi="Book Antiqua" w:cs="Times New Roman"/>
          <w:sz w:val="24"/>
          <w:szCs w:val="24"/>
          <w:lang w:val="en-US"/>
        </w:rPr>
        <w:t>r</w:t>
      </w:r>
      <w:r w:rsidR="00BD14C7" w:rsidRPr="00263791">
        <w:rPr>
          <w:rFonts w:ascii="Book Antiqua" w:hAnsi="Book Antiqua" w:cs="Times New Roman"/>
          <w:sz w:val="24"/>
          <w:szCs w:val="24"/>
          <w:lang w:val="en-US"/>
        </w:rPr>
        <w:t>ebuilding relies on imports that must be finance</w:t>
      </w:r>
      <w:r>
        <w:rPr>
          <w:rFonts w:ascii="Book Antiqua" w:hAnsi="Book Antiqua" w:cs="Times New Roman"/>
          <w:sz w:val="24"/>
          <w:szCs w:val="24"/>
          <w:lang w:val="en-US"/>
        </w:rPr>
        <w:t>d</w:t>
      </w:r>
      <w:r w:rsidR="00BD14C7" w:rsidRPr="00263791">
        <w:rPr>
          <w:rFonts w:ascii="Book Antiqua" w:hAnsi="Book Antiqua" w:cs="Times New Roman"/>
          <w:sz w:val="24"/>
          <w:szCs w:val="24"/>
          <w:lang w:val="en-US"/>
        </w:rPr>
        <w:t xml:space="preserve"> </w:t>
      </w:r>
      <w:r>
        <w:rPr>
          <w:rFonts w:ascii="Book Antiqua" w:hAnsi="Book Antiqua" w:cs="Times New Roman"/>
          <w:sz w:val="24"/>
          <w:szCs w:val="24"/>
          <w:lang w:val="en-US"/>
        </w:rPr>
        <w:t xml:space="preserve">with </w:t>
      </w:r>
      <w:r w:rsidR="00BD14C7" w:rsidRPr="00263791">
        <w:rPr>
          <w:rFonts w:ascii="Book Antiqua" w:hAnsi="Book Antiqua" w:cs="Times New Roman"/>
          <w:sz w:val="24"/>
          <w:szCs w:val="24"/>
          <w:lang w:val="en-US"/>
        </w:rPr>
        <w:t>for</w:t>
      </w:r>
      <w:r>
        <w:rPr>
          <w:rFonts w:ascii="Book Antiqua" w:hAnsi="Book Antiqua" w:cs="Times New Roman"/>
          <w:sz w:val="24"/>
          <w:szCs w:val="24"/>
          <w:lang w:val="en-US"/>
        </w:rPr>
        <w:t>eign</w:t>
      </w:r>
      <w:r w:rsidR="00BD14C7" w:rsidRPr="00263791">
        <w:rPr>
          <w:rFonts w:ascii="Book Antiqua" w:hAnsi="Book Antiqua" w:cs="Times New Roman"/>
          <w:sz w:val="24"/>
          <w:szCs w:val="24"/>
          <w:lang w:val="en-US"/>
        </w:rPr>
        <w:t xml:space="preserve"> exchange</w:t>
      </w:r>
      <w:r w:rsidR="002F09D6">
        <w:rPr>
          <w:rFonts w:ascii="Book Antiqua" w:hAnsi="Book Antiqua" w:cs="Times New Roman"/>
          <w:sz w:val="24"/>
          <w:szCs w:val="24"/>
          <w:lang w:val="en-US"/>
        </w:rPr>
        <w:t>,</w:t>
      </w:r>
      <w:r w:rsidR="00BD14C7" w:rsidRPr="00263791">
        <w:rPr>
          <w:rFonts w:ascii="Book Antiqua" w:hAnsi="Book Antiqua" w:cs="Times New Roman"/>
          <w:sz w:val="24"/>
          <w:szCs w:val="24"/>
          <w:lang w:val="en-US"/>
        </w:rPr>
        <w:t xml:space="preserve"> at the same timing as when the tourism </w:t>
      </w:r>
      <w:r w:rsidR="00837BD2">
        <w:rPr>
          <w:rFonts w:ascii="Book Antiqua" w:hAnsi="Book Antiqua" w:cs="Times New Roman"/>
          <w:sz w:val="24"/>
          <w:szCs w:val="24"/>
          <w:lang w:val="en-US"/>
        </w:rPr>
        <w:t>earnings</w:t>
      </w:r>
      <w:r>
        <w:rPr>
          <w:rFonts w:ascii="Book Antiqua" w:hAnsi="Book Antiqua" w:cs="Times New Roman"/>
          <w:sz w:val="24"/>
          <w:szCs w:val="24"/>
          <w:lang w:val="en-US"/>
        </w:rPr>
        <w:t xml:space="preserve"> are disrupted</w:t>
      </w:r>
      <w:r w:rsidR="00BD14C7" w:rsidRPr="00263791">
        <w:rPr>
          <w:rFonts w:ascii="Book Antiqua" w:hAnsi="Book Antiqua" w:cs="Times New Roman"/>
          <w:sz w:val="24"/>
          <w:szCs w:val="24"/>
          <w:lang w:val="en-US"/>
        </w:rPr>
        <w:t xml:space="preserve">.  Resiliency </w:t>
      </w:r>
      <w:r>
        <w:rPr>
          <w:rFonts w:ascii="Book Antiqua" w:hAnsi="Book Antiqua" w:cs="Times New Roman"/>
          <w:sz w:val="24"/>
          <w:szCs w:val="24"/>
          <w:lang w:val="en-US"/>
        </w:rPr>
        <w:t>amounts to</w:t>
      </w:r>
      <w:r w:rsidR="00BD14C7" w:rsidRPr="00263791">
        <w:rPr>
          <w:rFonts w:ascii="Book Antiqua" w:hAnsi="Book Antiqua" w:cs="Times New Roman"/>
          <w:sz w:val="24"/>
          <w:szCs w:val="24"/>
          <w:lang w:val="en-US"/>
        </w:rPr>
        <w:t xml:space="preserve"> </w:t>
      </w:r>
      <w:r w:rsidR="0073593F">
        <w:rPr>
          <w:rFonts w:ascii="Book Antiqua" w:hAnsi="Book Antiqua" w:cs="Times New Roman"/>
          <w:sz w:val="24"/>
          <w:szCs w:val="24"/>
          <w:lang w:val="en-US"/>
        </w:rPr>
        <w:t xml:space="preserve">being able to </w:t>
      </w:r>
      <w:r w:rsidR="00BD14C7" w:rsidRPr="00263791">
        <w:rPr>
          <w:rFonts w:ascii="Book Antiqua" w:hAnsi="Book Antiqua" w:cs="Times New Roman"/>
          <w:sz w:val="24"/>
          <w:szCs w:val="24"/>
          <w:lang w:val="en-US"/>
        </w:rPr>
        <w:t xml:space="preserve">withstand </w:t>
      </w:r>
      <w:r>
        <w:rPr>
          <w:rFonts w:ascii="Book Antiqua" w:hAnsi="Book Antiqua" w:cs="Times New Roman"/>
          <w:sz w:val="24"/>
          <w:szCs w:val="24"/>
          <w:lang w:val="en-US"/>
        </w:rPr>
        <w:t xml:space="preserve">such </w:t>
      </w:r>
      <w:r w:rsidR="00BD14C7" w:rsidRPr="00263791">
        <w:rPr>
          <w:rFonts w:ascii="Book Antiqua" w:hAnsi="Book Antiqua" w:cs="Times New Roman"/>
          <w:sz w:val="24"/>
          <w:szCs w:val="24"/>
          <w:lang w:val="en-US"/>
        </w:rPr>
        <w:t xml:space="preserve">shocks without </w:t>
      </w:r>
      <w:r w:rsidR="00AE4D28">
        <w:rPr>
          <w:rFonts w:ascii="Book Antiqua" w:hAnsi="Book Antiqua" w:cs="Times New Roman"/>
          <w:sz w:val="24"/>
          <w:szCs w:val="24"/>
          <w:lang w:val="en-US"/>
        </w:rPr>
        <w:t xml:space="preserve">putting </w:t>
      </w:r>
      <w:r w:rsidR="00BD14C7" w:rsidRPr="00263791">
        <w:rPr>
          <w:rFonts w:ascii="Book Antiqua" w:hAnsi="Book Antiqua" w:cs="Times New Roman"/>
          <w:sz w:val="24"/>
          <w:szCs w:val="24"/>
          <w:lang w:val="en-US"/>
        </w:rPr>
        <w:t xml:space="preserve">the </w:t>
      </w:r>
      <w:r w:rsidR="00AE4D28">
        <w:rPr>
          <w:rFonts w:ascii="Book Antiqua" w:hAnsi="Book Antiqua" w:cs="Times New Roman"/>
          <w:sz w:val="24"/>
          <w:szCs w:val="24"/>
          <w:lang w:val="en-US"/>
        </w:rPr>
        <w:t xml:space="preserve">survivability </w:t>
      </w:r>
      <w:r w:rsidR="00BD14C7" w:rsidRPr="00263791">
        <w:rPr>
          <w:rFonts w:ascii="Book Antiqua" w:hAnsi="Book Antiqua" w:cs="Times New Roman"/>
          <w:sz w:val="24"/>
          <w:szCs w:val="24"/>
          <w:lang w:val="en-US"/>
        </w:rPr>
        <w:t>of the</w:t>
      </w:r>
      <w:r w:rsidR="0070014B">
        <w:rPr>
          <w:rFonts w:ascii="Book Antiqua" w:hAnsi="Book Antiqua" w:cs="Times New Roman"/>
          <w:sz w:val="24"/>
          <w:szCs w:val="24"/>
          <w:lang w:val="en-US"/>
        </w:rPr>
        <w:t xml:space="preserve"> Bahamian dollar</w:t>
      </w:r>
      <w:r w:rsidR="00BD14C7" w:rsidRPr="00263791">
        <w:rPr>
          <w:rFonts w:ascii="Book Antiqua" w:hAnsi="Book Antiqua" w:cs="Times New Roman"/>
          <w:sz w:val="24"/>
          <w:szCs w:val="24"/>
          <w:lang w:val="en-US"/>
        </w:rPr>
        <w:t xml:space="preserve"> exchange </w:t>
      </w:r>
      <w:r w:rsidR="00AE4D28">
        <w:rPr>
          <w:rFonts w:ascii="Book Antiqua" w:hAnsi="Book Antiqua" w:cs="Times New Roman"/>
          <w:sz w:val="24"/>
          <w:szCs w:val="24"/>
          <w:lang w:val="en-US"/>
        </w:rPr>
        <w:t xml:space="preserve">rate into question. </w:t>
      </w:r>
      <w:r w:rsidR="00291A7E">
        <w:rPr>
          <w:rFonts w:ascii="Book Antiqua" w:hAnsi="Book Antiqua" w:cs="Times New Roman"/>
          <w:sz w:val="24"/>
          <w:szCs w:val="24"/>
          <w:lang w:val="en-US"/>
        </w:rPr>
        <w:t xml:space="preserve"> </w:t>
      </w:r>
      <w:r w:rsidR="00040533" w:rsidRPr="00263791">
        <w:rPr>
          <w:rFonts w:ascii="Book Antiqua" w:hAnsi="Book Antiqua" w:cs="Times New Roman"/>
          <w:sz w:val="24"/>
          <w:szCs w:val="24"/>
          <w:lang w:val="en-US"/>
        </w:rPr>
        <w:t>Reinsurance payments i</w:t>
      </w:r>
      <w:r w:rsidR="00040533">
        <w:rPr>
          <w:rFonts w:ascii="Book Antiqua" w:hAnsi="Book Antiqua" w:cs="Times New Roman"/>
          <w:sz w:val="24"/>
          <w:szCs w:val="24"/>
          <w:lang w:val="en-US"/>
        </w:rPr>
        <w:t>nflows</w:t>
      </w:r>
      <w:r w:rsidR="000D723E">
        <w:rPr>
          <w:rFonts w:ascii="Book Antiqua" w:hAnsi="Book Antiqua" w:cs="Times New Roman"/>
          <w:sz w:val="24"/>
          <w:szCs w:val="24"/>
          <w:lang w:val="en-US"/>
        </w:rPr>
        <w:t xml:space="preserve"> will</w:t>
      </w:r>
      <w:r w:rsidR="00040533" w:rsidRPr="00263791">
        <w:rPr>
          <w:rFonts w:ascii="Book Antiqua" w:hAnsi="Book Antiqua" w:cs="Times New Roman"/>
          <w:sz w:val="24"/>
          <w:szCs w:val="24"/>
          <w:lang w:val="en-US"/>
        </w:rPr>
        <w:t xml:space="preserve"> offer a cushion of at least $0.5 billion</w:t>
      </w:r>
      <w:r w:rsidR="00040533">
        <w:rPr>
          <w:rFonts w:ascii="Book Antiqua" w:hAnsi="Book Antiqua" w:cs="Times New Roman"/>
          <w:sz w:val="24"/>
          <w:szCs w:val="24"/>
          <w:lang w:val="en-US"/>
        </w:rPr>
        <w:t xml:space="preserve"> to foreign exchange needs</w:t>
      </w:r>
      <w:r w:rsidR="00040533" w:rsidRPr="00263791">
        <w:rPr>
          <w:rFonts w:ascii="Book Antiqua" w:hAnsi="Book Antiqua" w:cs="Times New Roman"/>
          <w:sz w:val="24"/>
          <w:szCs w:val="24"/>
          <w:lang w:val="en-US"/>
        </w:rPr>
        <w:t xml:space="preserve">.  </w:t>
      </w:r>
      <w:r w:rsidR="008925FB">
        <w:rPr>
          <w:rFonts w:ascii="Book Antiqua" w:hAnsi="Book Antiqua" w:cs="Times New Roman"/>
          <w:sz w:val="24"/>
          <w:szCs w:val="24"/>
          <w:lang w:val="en-US"/>
        </w:rPr>
        <w:t>These</w:t>
      </w:r>
      <w:r w:rsidR="00040533">
        <w:rPr>
          <w:rFonts w:ascii="Book Antiqua" w:hAnsi="Book Antiqua" w:cs="Times New Roman"/>
          <w:sz w:val="24"/>
          <w:szCs w:val="24"/>
          <w:lang w:val="en-US"/>
        </w:rPr>
        <w:t xml:space="preserve"> will be the largest</w:t>
      </w:r>
      <w:r w:rsidR="00A819FD">
        <w:rPr>
          <w:rFonts w:ascii="Book Antiqua" w:hAnsi="Book Antiqua" w:cs="Times New Roman"/>
          <w:sz w:val="24"/>
          <w:szCs w:val="24"/>
          <w:lang w:val="en-US"/>
        </w:rPr>
        <w:t xml:space="preserve"> </w:t>
      </w:r>
      <w:r w:rsidR="008925FB">
        <w:rPr>
          <w:rFonts w:ascii="Book Antiqua" w:hAnsi="Book Antiqua" w:cs="Times New Roman"/>
          <w:sz w:val="24"/>
          <w:szCs w:val="24"/>
          <w:lang w:val="en-US"/>
        </w:rPr>
        <w:t xml:space="preserve">such </w:t>
      </w:r>
      <w:r w:rsidR="00A819FD">
        <w:rPr>
          <w:rFonts w:ascii="Book Antiqua" w:hAnsi="Book Antiqua" w:cs="Times New Roman"/>
          <w:sz w:val="24"/>
          <w:szCs w:val="24"/>
          <w:lang w:val="en-US"/>
        </w:rPr>
        <w:t>inflow</w:t>
      </w:r>
      <w:r w:rsidR="008925FB">
        <w:rPr>
          <w:rFonts w:ascii="Book Antiqua" w:hAnsi="Book Antiqua" w:cs="Times New Roman"/>
          <w:sz w:val="24"/>
          <w:szCs w:val="24"/>
          <w:lang w:val="en-US"/>
        </w:rPr>
        <w:t>s</w:t>
      </w:r>
      <w:r w:rsidR="00040533">
        <w:rPr>
          <w:rFonts w:ascii="Book Antiqua" w:hAnsi="Book Antiqua" w:cs="Times New Roman"/>
          <w:sz w:val="24"/>
          <w:szCs w:val="24"/>
          <w:lang w:val="en-US"/>
        </w:rPr>
        <w:t xml:space="preserve"> levels ever </w:t>
      </w:r>
      <w:r w:rsidR="008925FB">
        <w:rPr>
          <w:rFonts w:ascii="Book Antiqua" w:hAnsi="Book Antiqua" w:cs="Times New Roman"/>
          <w:sz w:val="24"/>
          <w:szCs w:val="24"/>
          <w:lang w:val="en-US"/>
        </w:rPr>
        <w:t>received</w:t>
      </w:r>
      <w:r w:rsidR="00BD6279">
        <w:rPr>
          <w:rFonts w:ascii="Book Antiqua" w:hAnsi="Book Antiqua" w:cs="Times New Roman"/>
          <w:sz w:val="24"/>
          <w:szCs w:val="24"/>
          <w:lang w:val="en-US"/>
        </w:rPr>
        <w:t xml:space="preserve"> (see </w:t>
      </w:r>
      <w:r w:rsidR="00A819FD">
        <w:rPr>
          <w:rFonts w:ascii="Book Antiqua" w:hAnsi="Book Antiqua" w:cs="Times New Roman"/>
          <w:sz w:val="24"/>
          <w:szCs w:val="24"/>
          <w:lang w:val="en-US"/>
        </w:rPr>
        <w:t>chart</w:t>
      </w:r>
      <w:r w:rsidR="00BD6279">
        <w:rPr>
          <w:rFonts w:ascii="Book Antiqua" w:hAnsi="Book Antiqua" w:cs="Times New Roman"/>
          <w:sz w:val="24"/>
          <w:szCs w:val="24"/>
          <w:lang w:val="en-US"/>
        </w:rPr>
        <w:t>)</w:t>
      </w:r>
      <w:r w:rsidR="00040533">
        <w:rPr>
          <w:rFonts w:ascii="Book Antiqua" w:hAnsi="Book Antiqua" w:cs="Times New Roman"/>
          <w:sz w:val="24"/>
          <w:szCs w:val="24"/>
          <w:lang w:val="en-US"/>
        </w:rPr>
        <w:t xml:space="preserve">. </w:t>
      </w:r>
    </w:p>
    <w:p w14:paraId="324DAE06" w14:textId="07116FCA" w:rsidR="00BD6279" w:rsidRDefault="00066B54" w:rsidP="00B751A3">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In reliving these experiences in the future</w:t>
      </w:r>
      <w:r w:rsidR="00BD14C7" w:rsidRPr="00263791">
        <w:rPr>
          <w:rFonts w:ascii="Book Antiqua" w:hAnsi="Book Antiqua" w:cs="Times New Roman"/>
          <w:sz w:val="24"/>
          <w:szCs w:val="24"/>
          <w:lang w:val="en-US"/>
        </w:rPr>
        <w:t xml:space="preserve"> </w:t>
      </w:r>
      <w:r w:rsidR="00AE4D28">
        <w:rPr>
          <w:rFonts w:ascii="Book Antiqua" w:hAnsi="Book Antiqua" w:cs="Times New Roman"/>
          <w:sz w:val="24"/>
          <w:szCs w:val="24"/>
          <w:lang w:val="en-US"/>
        </w:rPr>
        <w:t xml:space="preserve">our </w:t>
      </w:r>
      <w:r w:rsidR="00BD14C7" w:rsidRPr="00263791">
        <w:rPr>
          <w:rFonts w:ascii="Book Antiqua" w:hAnsi="Book Antiqua" w:cs="Times New Roman"/>
          <w:sz w:val="24"/>
          <w:szCs w:val="24"/>
          <w:lang w:val="en-US"/>
        </w:rPr>
        <w:t xml:space="preserve">national savings must also </w:t>
      </w:r>
      <w:r w:rsidR="00544572">
        <w:rPr>
          <w:rFonts w:ascii="Book Antiqua" w:hAnsi="Book Antiqua" w:cs="Times New Roman"/>
          <w:sz w:val="24"/>
          <w:szCs w:val="24"/>
          <w:lang w:val="en-US"/>
        </w:rPr>
        <w:t>stay</w:t>
      </w:r>
      <w:r w:rsidR="00BD14C7" w:rsidRPr="00263791">
        <w:rPr>
          <w:rFonts w:ascii="Book Antiqua" w:hAnsi="Book Antiqua" w:cs="Times New Roman"/>
          <w:sz w:val="24"/>
          <w:szCs w:val="24"/>
          <w:lang w:val="en-US"/>
        </w:rPr>
        <w:t xml:space="preserve"> present in the form of the external reserves of the </w:t>
      </w:r>
      <w:r w:rsidR="00AE4D28">
        <w:rPr>
          <w:rFonts w:ascii="Book Antiqua" w:hAnsi="Book Antiqua" w:cs="Times New Roman"/>
          <w:sz w:val="24"/>
          <w:szCs w:val="24"/>
          <w:lang w:val="en-US"/>
        </w:rPr>
        <w:t>C</w:t>
      </w:r>
      <w:r w:rsidR="00BD14C7" w:rsidRPr="00263791">
        <w:rPr>
          <w:rFonts w:ascii="Book Antiqua" w:hAnsi="Book Antiqua" w:cs="Times New Roman"/>
          <w:sz w:val="24"/>
          <w:szCs w:val="24"/>
          <w:lang w:val="en-US"/>
        </w:rPr>
        <w:t xml:space="preserve">entral </w:t>
      </w:r>
      <w:r w:rsidR="00AE4D28">
        <w:rPr>
          <w:rFonts w:ascii="Book Antiqua" w:hAnsi="Book Antiqua" w:cs="Times New Roman"/>
          <w:sz w:val="24"/>
          <w:szCs w:val="24"/>
          <w:lang w:val="en-US"/>
        </w:rPr>
        <w:t>B</w:t>
      </w:r>
      <w:r w:rsidR="00BD14C7" w:rsidRPr="00263791">
        <w:rPr>
          <w:rFonts w:ascii="Book Antiqua" w:hAnsi="Book Antiqua" w:cs="Times New Roman"/>
          <w:sz w:val="24"/>
          <w:szCs w:val="24"/>
          <w:lang w:val="en-US"/>
        </w:rPr>
        <w:t xml:space="preserve">ank.  As </w:t>
      </w:r>
      <w:r w:rsidR="00634CD7">
        <w:rPr>
          <w:rFonts w:ascii="Book Antiqua" w:hAnsi="Book Antiqua" w:cs="Times New Roman"/>
          <w:sz w:val="24"/>
          <w:szCs w:val="24"/>
          <w:lang w:val="en-US"/>
        </w:rPr>
        <w:t>T</w:t>
      </w:r>
      <w:r w:rsidR="00AE4D28">
        <w:rPr>
          <w:rFonts w:ascii="Book Antiqua" w:hAnsi="Book Antiqua" w:cs="Times New Roman"/>
          <w:sz w:val="24"/>
          <w:szCs w:val="24"/>
          <w:lang w:val="en-US"/>
        </w:rPr>
        <w:t xml:space="preserve">he Bahamas is able </w:t>
      </w:r>
      <w:r w:rsidR="00BD14C7" w:rsidRPr="00263791">
        <w:rPr>
          <w:rFonts w:ascii="Book Antiqua" w:hAnsi="Book Antiqua" w:cs="Times New Roman"/>
          <w:sz w:val="24"/>
          <w:szCs w:val="24"/>
          <w:lang w:val="en-US"/>
        </w:rPr>
        <w:t xml:space="preserve">to build up these buffers, we would </w:t>
      </w:r>
      <w:r w:rsidR="00AE4D28">
        <w:rPr>
          <w:rFonts w:ascii="Book Antiqua" w:hAnsi="Book Antiqua" w:cs="Times New Roman"/>
          <w:sz w:val="24"/>
          <w:szCs w:val="24"/>
          <w:lang w:val="en-US"/>
        </w:rPr>
        <w:t xml:space="preserve">create space </w:t>
      </w:r>
      <w:r w:rsidR="00BD14C7" w:rsidRPr="00263791">
        <w:rPr>
          <w:rFonts w:ascii="Book Antiqua" w:hAnsi="Book Antiqua" w:cs="Times New Roman"/>
          <w:sz w:val="24"/>
          <w:szCs w:val="24"/>
          <w:lang w:val="en-US"/>
        </w:rPr>
        <w:t xml:space="preserve">to use </w:t>
      </w:r>
      <w:r w:rsidR="00AE4D28">
        <w:rPr>
          <w:rFonts w:ascii="Book Antiqua" w:hAnsi="Book Antiqua" w:cs="Times New Roman"/>
          <w:sz w:val="24"/>
          <w:szCs w:val="24"/>
          <w:lang w:val="en-US"/>
        </w:rPr>
        <w:t xml:space="preserve">more </w:t>
      </w:r>
      <w:r w:rsidR="00BD14C7" w:rsidRPr="00263791">
        <w:rPr>
          <w:rFonts w:ascii="Book Antiqua" w:hAnsi="Book Antiqua" w:cs="Times New Roman"/>
          <w:sz w:val="24"/>
          <w:szCs w:val="24"/>
          <w:lang w:val="en-US"/>
        </w:rPr>
        <w:t xml:space="preserve">local currency </w:t>
      </w:r>
      <w:r w:rsidR="00AE4D28">
        <w:rPr>
          <w:rFonts w:ascii="Book Antiqua" w:hAnsi="Book Antiqua" w:cs="Times New Roman"/>
          <w:sz w:val="24"/>
          <w:szCs w:val="24"/>
          <w:lang w:val="en-US"/>
        </w:rPr>
        <w:t xml:space="preserve">resources </w:t>
      </w:r>
      <w:r w:rsidR="00BD14C7" w:rsidRPr="00263791">
        <w:rPr>
          <w:rFonts w:ascii="Book Antiqua" w:hAnsi="Book Antiqua" w:cs="Times New Roman"/>
          <w:sz w:val="24"/>
          <w:szCs w:val="24"/>
          <w:lang w:val="en-US"/>
        </w:rPr>
        <w:t>to rebuild.</w:t>
      </w:r>
      <w:r w:rsidR="00544572">
        <w:rPr>
          <w:rFonts w:ascii="Book Antiqua" w:hAnsi="Book Antiqua" w:cs="Times New Roman"/>
          <w:sz w:val="24"/>
          <w:szCs w:val="24"/>
          <w:lang w:val="en-US"/>
        </w:rPr>
        <w:t xml:space="preserve"> </w:t>
      </w:r>
      <w:r w:rsidR="00AE4D28">
        <w:rPr>
          <w:rFonts w:ascii="Book Antiqua" w:hAnsi="Book Antiqua" w:cs="Times New Roman"/>
          <w:sz w:val="24"/>
          <w:szCs w:val="24"/>
          <w:lang w:val="en-US"/>
        </w:rPr>
        <w:t xml:space="preserve">On </w:t>
      </w:r>
      <w:r w:rsidR="00716778" w:rsidRPr="00263791">
        <w:rPr>
          <w:rFonts w:ascii="Book Antiqua" w:hAnsi="Book Antiqua" w:cs="Times New Roman"/>
          <w:sz w:val="24"/>
          <w:szCs w:val="24"/>
          <w:lang w:val="en-US"/>
        </w:rPr>
        <w:t xml:space="preserve">the </w:t>
      </w:r>
      <w:r w:rsidR="00544572">
        <w:rPr>
          <w:rFonts w:ascii="Book Antiqua" w:hAnsi="Book Antiqua" w:cs="Times New Roman"/>
          <w:sz w:val="24"/>
          <w:szCs w:val="24"/>
          <w:lang w:val="en-US"/>
        </w:rPr>
        <w:t>projected</w:t>
      </w:r>
      <w:r w:rsidR="00716778" w:rsidRPr="00263791">
        <w:rPr>
          <w:rFonts w:ascii="Book Antiqua" w:hAnsi="Book Antiqua" w:cs="Times New Roman"/>
          <w:sz w:val="24"/>
          <w:szCs w:val="24"/>
          <w:lang w:val="en-US"/>
        </w:rPr>
        <w:t xml:space="preserve"> recovery </w:t>
      </w:r>
      <w:r w:rsidR="00AE4D28">
        <w:rPr>
          <w:rFonts w:ascii="Book Antiqua" w:hAnsi="Book Antiqua" w:cs="Times New Roman"/>
          <w:sz w:val="24"/>
          <w:szCs w:val="24"/>
          <w:lang w:val="en-US"/>
        </w:rPr>
        <w:t>path</w:t>
      </w:r>
      <w:r w:rsidR="00716778" w:rsidRPr="00263791">
        <w:rPr>
          <w:rFonts w:ascii="Book Antiqua" w:hAnsi="Book Antiqua" w:cs="Times New Roman"/>
          <w:sz w:val="24"/>
          <w:szCs w:val="24"/>
          <w:lang w:val="en-US"/>
        </w:rPr>
        <w:t>, our foreign reserves will experience a boo</w:t>
      </w:r>
      <w:r w:rsidR="002F09D6">
        <w:rPr>
          <w:rFonts w:ascii="Book Antiqua" w:hAnsi="Book Antiqua" w:cs="Times New Roman"/>
          <w:sz w:val="24"/>
          <w:szCs w:val="24"/>
          <w:lang w:val="en-US"/>
        </w:rPr>
        <w:t>s</w:t>
      </w:r>
      <w:r w:rsidR="00716778" w:rsidRPr="00263791">
        <w:rPr>
          <w:rFonts w:ascii="Book Antiqua" w:hAnsi="Book Antiqua" w:cs="Times New Roman"/>
          <w:sz w:val="24"/>
          <w:szCs w:val="24"/>
          <w:lang w:val="en-US"/>
        </w:rPr>
        <w:t xml:space="preserve">t initially from the re-insurance </w:t>
      </w:r>
      <w:r w:rsidR="00F666D9">
        <w:rPr>
          <w:rFonts w:ascii="Book Antiqua" w:hAnsi="Book Antiqua" w:cs="Times New Roman"/>
          <w:sz w:val="24"/>
          <w:szCs w:val="24"/>
          <w:lang w:val="en-US"/>
        </w:rPr>
        <w:t xml:space="preserve">receipts </w:t>
      </w:r>
      <w:r w:rsidR="00716778" w:rsidRPr="00263791">
        <w:rPr>
          <w:rFonts w:ascii="Book Antiqua" w:hAnsi="Book Antiqua" w:cs="Times New Roman"/>
          <w:sz w:val="24"/>
          <w:szCs w:val="24"/>
          <w:lang w:val="en-US"/>
        </w:rPr>
        <w:t xml:space="preserve">and proceeds from government financing.  </w:t>
      </w:r>
      <w:r w:rsidR="00AE4D28">
        <w:rPr>
          <w:rFonts w:ascii="Book Antiqua" w:hAnsi="Book Antiqua" w:cs="Times New Roman"/>
          <w:sz w:val="24"/>
          <w:szCs w:val="24"/>
          <w:lang w:val="en-US"/>
        </w:rPr>
        <w:t xml:space="preserve">These are expected to be consumed in full </w:t>
      </w:r>
      <w:r w:rsidR="00716778" w:rsidRPr="00263791">
        <w:rPr>
          <w:rFonts w:ascii="Book Antiqua" w:hAnsi="Book Antiqua" w:cs="Times New Roman"/>
          <w:sz w:val="24"/>
          <w:szCs w:val="24"/>
          <w:lang w:val="en-US"/>
        </w:rPr>
        <w:t xml:space="preserve">next year, </w:t>
      </w:r>
      <w:r w:rsidR="00AE4D28">
        <w:rPr>
          <w:rFonts w:ascii="Book Antiqua" w:hAnsi="Book Antiqua" w:cs="Times New Roman"/>
          <w:sz w:val="24"/>
          <w:szCs w:val="24"/>
          <w:lang w:val="en-US"/>
        </w:rPr>
        <w:t xml:space="preserve">with the expectations that </w:t>
      </w:r>
      <w:r w:rsidR="006A34AB">
        <w:rPr>
          <w:rFonts w:ascii="Book Antiqua" w:hAnsi="Book Antiqua" w:cs="Times New Roman"/>
          <w:sz w:val="24"/>
          <w:szCs w:val="24"/>
          <w:lang w:val="en-US"/>
        </w:rPr>
        <w:t>The Bahamas</w:t>
      </w:r>
      <w:r w:rsidR="00AE4D28">
        <w:rPr>
          <w:rFonts w:ascii="Book Antiqua" w:hAnsi="Book Antiqua" w:cs="Times New Roman"/>
          <w:sz w:val="24"/>
          <w:szCs w:val="24"/>
          <w:lang w:val="en-US"/>
        </w:rPr>
        <w:t xml:space="preserve"> </w:t>
      </w:r>
      <w:r w:rsidR="00716778" w:rsidRPr="00263791">
        <w:rPr>
          <w:rFonts w:ascii="Book Antiqua" w:hAnsi="Book Antiqua" w:cs="Times New Roman"/>
          <w:sz w:val="24"/>
          <w:szCs w:val="24"/>
          <w:lang w:val="en-US"/>
        </w:rPr>
        <w:t xml:space="preserve">could end </w:t>
      </w:r>
      <w:r w:rsidR="00BD6279">
        <w:rPr>
          <w:rFonts w:ascii="Book Antiqua" w:hAnsi="Book Antiqua" w:cs="Times New Roman"/>
          <w:sz w:val="24"/>
          <w:szCs w:val="24"/>
          <w:lang w:val="en-US"/>
        </w:rPr>
        <w:t>2020</w:t>
      </w:r>
      <w:r w:rsidR="00716778" w:rsidRPr="00263791">
        <w:rPr>
          <w:rFonts w:ascii="Book Antiqua" w:hAnsi="Book Antiqua" w:cs="Times New Roman"/>
          <w:sz w:val="24"/>
          <w:szCs w:val="24"/>
          <w:lang w:val="en-US"/>
        </w:rPr>
        <w:t xml:space="preserve"> with slightly lower </w:t>
      </w:r>
      <w:r w:rsidR="00AE4D28">
        <w:rPr>
          <w:rFonts w:ascii="Book Antiqua" w:hAnsi="Book Antiqua" w:cs="Times New Roman"/>
          <w:sz w:val="24"/>
          <w:szCs w:val="24"/>
          <w:lang w:val="en-US"/>
        </w:rPr>
        <w:t xml:space="preserve">foreign </w:t>
      </w:r>
      <w:r w:rsidR="00716778" w:rsidRPr="00263791">
        <w:rPr>
          <w:rFonts w:ascii="Book Antiqua" w:hAnsi="Book Antiqua" w:cs="Times New Roman"/>
          <w:sz w:val="24"/>
          <w:szCs w:val="24"/>
          <w:lang w:val="en-US"/>
        </w:rPr>
        <w:t>reserv</w:t>
      </w:r>
      <w:r w:rsidR="00AE4D28">
        <w:rPr>
          <w:rFonts w:ascii="Book Antiqua" w:hAnsi="Book Antiqua" w:cs="Times New Roman"/>
          <w:sz w:val="24"/>
          <w:szCs w:val="24"/>
          <w:lang w:val="en-US"/>
        </w:rPr>
        <w:t xml:space="preserve">es than at the end of 2018. </w:t>
      </w:r>
    </w:p>
    <w:p w14:paraId="5C2FA4C5" w14:textId="669A2FFC" w:rsidR="00B751A3" w:rsidRDefault="00AE4D28" w:rsidP="00B751A3">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lastRenderedPageBreak/>
        <w:t>T</w:t>
      </w:r>
      <w:r w:rsidR="00716778" w:rsidRPr="00263791">
        <w:rPr>
          <w:rFonts w:ascii="Book Antiqua" w:hAnsi="Book Antiqua" w:cs="Times New Roman"/>
          <w:sz w:val="24"/>
          <w:szCs w:val="24"/>
          <w:lang w:val="en-US"/>
        </w:rPr>
        <w:t>he ability to see some ret</w:t>
      </w:r>
      <w:r w:rsidR="00BD6279">
        <w:rPr>
          <w:rFonts w:ascii="Book Antiqua" w:hAnsi="Book Antiqua" w:cs="Times New Roman"/>
          <w:sz w:val="24"/>
          <w:szCs w:val="24"/>
          <w:lang w:val="en-US"/>
        </w:rPr>
        <w:t>urn to activity in Grand Bahama</w:t>
      </w:r>
      <w:r w:rsidR="00716778" w:rsidRPr="00263791">
        <w:rPr>
          <w:rFonts w:ascii="Book Antiqua" w:hAnsi="Book Antiqua" w:cs="Times New Roman"/>
          <w:sz w:val="24"/>
          <w:szCs w:val="24"/>
          <w:lang w:val="en-US"/>
        </w:rPr>
        <w:t xml:space="preserve"> in 2020, favors </w:t>
      </w:r>
      <w:r w:rsidR="00D07467" w:rsidRPr="00263791">
        <w:rPr>
          <w:rFonts w:ascii="Book Antiqua" w:hAnsi="Book Antiqua" w:cs="Times New Roman"/>
          <w:sz w:val="24"/>
          <w:szCs w:val="24"/>
          <w:lang w:val="en-US"/>
        </w:rPr>
        <w:t>the</w:t>
      </w:r>
      <w:r w:rsidR="00D07467">
        <w:rPr>
          <w:rFonts w:ascii="Book Antiqua" w:hAnsi="Book Antiqua" w:cs="Times New Roman"/>
          <w:sz w:val="24"/>
          <w:szCs w:val="24"/>
          <w:lang w:val="en-US"/>
        </w:rPr>
        <w:t xml:space="preserve"> onset of the </w:t>
      </w:r>
      <w:r w:rsidR="00716778" w:rsidRPr="00263791">
        <w:rPr>
          <w:rFonts w:ascii="Book Antiqua" w:hAnsi="Book Antiqua" w:cs="Times New Roman"/>
          <w:sz w:val="24"/>
          <w:szCs w:val="24"/>
          <w:lang w:val="en-US"/>
        </w:rPr>
        <w:t xml:space="preserve"> recovery of tourism earning</w:t>
      </w:r>
      <w:r>
        <w:rPr>
          <w:rFonts w:ascii="Book Antiqua" w:hAnsi="Book Antiqua" w:cs="Times New Roman"/>
          <w:sz w:val="24"/>
          <w:szCs w:val="24"/>
          <w:lang w:val="en-US"/>
        </w:rPr>
        <w:t>s</w:t>
      </w:r>
      <w:r w:rsidR="00716778" w:rsidRPr="00263791">
        <w:rPr>
          <w:rFonts w:ascii="Book Antiqua" w:hAnsi="Book Antiqua" w:cs="Times New Roman"/>
          <w:sz w:val="24"/>
          <w:szCs w:val="24"/>
          <w:lang w:val="en-US"/>
        </w:rPr>
        <w:t xml:space="preserve">.  Having the Abaco tourism plant </w:t>
      </w:r>
      <w:r>
        <w:rPr>
          <w:rFonts w:ascii="Book Antiqua" w:hAnsi="Book Antiqua" w:cs="Times New Roman"/>
          <w:sz w:val="24"/>
          <w:szCs w:val="24"/>
          <w:lang w:val="en-US"/>
        </w:rPr>
        <w:t xml:space="preserve">substantially </w:t>
      </w:r>
      <w:r w:rsidR="00716778" w:rsidRPr="00263791">
        <w:rPr>
          <w:rFonts w:ascii="Book Antiqua" w:hAnsi="Book Antiqua" w:cs="Times New Roman"/>
          <w:sz w:val="24"/>
          <w:szCs w:val="24"/>
          <w:lang w:val="en-US"/>
        </w:rPr>
        <w:t xml:space="preserve">back in production by 2021 </w:t>
      </w:r>
      <w:r w:rsidR="00CE39E9">
        <w:rPr>
          <w:rFonts w:ascii="Book Antiqua" w:hAnsi="Book Antiqua" w:cs="Times New Roman"/>
          <w:sz w:val="24"/>
          <w:szCs w:val="24"/>
          <w:lang w:val="en-US"/>
        </w:rPr>
        <w:t>would</w:t>
      </w:r>
      <w:r w:rsidR="00EF00CF">
        <w:rPr>
          <w:rFonts w:ascii="Book Antiqua" w:hAnsi="Book Antiqua" w:cs="Times New Roman"/>
          <w:sz w:val="24"/>
          <w:szCs w:val="24"/>
          <w:lang w:val="en-US"/>
        </w:rPr>
        <w:t xml:space="preserve"> help to</w:t>
      </w:r>
      <w:r>
        <w:rPr>
          <w:rFonts w:ascii="Book Antiqua" w:hAnsi="Book Antiqua" w:cs="Times New Roman"/>
          <w:sz w:val="24"/>
          <w:szCs w:val="24"/>
          <w:lang w:val="en-US"/>
        </w:rPr>
        <w:t xml:space="preserve"> </w:t>
      </w:r>
      <w:r w:rsidR="00716778" w:rsidRPr="00263791">
        <w:rPr>
          <w:rFonts w:ascii="Book Antiqua" w:hAnsi="Book Antiqua" w:cs="Times New Roman"/>
          <w:sz w:val="24"/>
          <w:szCs w:val="24"/>
          <w:lang w:val="en-US"/>
        </w:rPr>
        <w:t>normaliz</w:t>
      </w:r>
      <w:r>
        <w:rPr>
          <w:rFonts w:ascii="Book Antiqua" w:hAnsi="Book Antiqua" w:cs="Times New Roman"/>
          <w:sz w:val="24"/>
          <w:szCs w:val="24"/>
          <w:lang w:val="en-US"/>
        </w:rPr>
        <w:t>e</w:t>
      </w:r>
      <w:r w:rsidR="00716778" w:rsidRPr="00263791">
        <w:rPr>
          <w:rFonts w:ascii="Book Antiqua" w:hAnsi="Book Antiqua" w:cs="Times New Roman"/>
          <w:sz w:val="24"/>
          <w:szCs w:val="24"/>
          <w:lang w:val="en-US"/>
        </w:rPr>
        <w:t xml:space="preserve"> </w:t>
      </w:r>
      <w:r w:rsidR="00EF00CF">
        <w:rPr>
          <w:rFonts w:ascii="Book Antiqua" w:hAnsi="Book Antiqua" w:cs="Times New Roman"/>
          <w:sz w:val="24"/>
          <w:szCs w:val="24"/>
          <w:lang w:val="en-US"/>
        </w:rPr>
        <w:t xml:space="preserve">return to </w:t>
      </w:r>
      <w:r w:rsidR="00716778" w:rsidRPr="00263791">
        <w:rPr>
          <w:rFonts w:ascii="Book Antiqua" w:hAnsi="Book Antiqua" w:cs="Times New Roman"/>
          <w:sz w:val="24"/>
          <w:szCs w:val="24"/>
          <w:lang w:val="en-US"/>
        </w:rPr>
        <w:t>the still positive medium</w:t>
      </w:r>
      <w:r>
        <w:rPr>
          <w:rFonts w:ascii="Book Antiqua" w:hAnsi="Book Antiqua" w:cs="Times New Roman"/>
          <w:sz w:val="24"/>
          <w:szCs w:val="24"/>
          <w:lang w:val="en-US"/>
        </w:rPr>
        <w:t>-</w:t>
      </w:r>
      <w:r w:rsidR="00716778" w:rsidRPr="00263791">
        <w:rPr>
          <w:rFonts w:ascii="Book Antiqua" w:hAnsi="Book Antiqua" w:cs="Times New Roman"/>
          <w:sz w:val="24"/>
          <w:szCs w:val="24"/>
          <w:lang w:val="en-US"/>
        </w:rPr>
        <w:t>term outlook for reserves.  Until then, the tourism m</w:t>
      </w:r>
      <w:r>
        <w:rPr>
          <w:rFonts w:ascii="Book Antiqua" w:hAnsi="Book Antiqua" w:cs="Times New Roman"/>
          <w:sz w:val="24"/>
          <w:szCs w:val="24"/>
          <w:lang w:val="en-US"/>
        </w:rPr>
        <w:t>arketing strategy has to succeed</w:t>
      </w:r>
      <w:r w:rsidR="00716778" w:rsidRPr="00263791">
        <w:rPr>
          <w:rFonts w:ascii="Book Antiqua" w:hAnsi="Book Antiqua" w:cs="Times New Roman"/>
          <w:sz w:val="24"/>
          <w:szCs w:val="24"/>
          <w:lang w:val="en-US"/>
        </w:rPr>
        <w:t xml:space="preserve"> in attracting s</w:t>
      </w:r>
      <w:r>
        <w:rPr>
          <w:rFonts w:ascii="Book Antiqua" w:hAnsi="Book Antiqua" w:cs="Times New Roman"/>
          <w:sz w:val="24"/>
          <w:szCs w:val="24"/>
          <w:lang w:val="en-US"/>
        </w:rPr>
        <w:t>ome of the displaced business f</w:t>
      </w:r>
      <w:r w:rsidR="00716778" w:rsidRPr="00263791">
        <w:rPr>
          <w:rFonts w:ascii="Book Antiqua" w:hAnsi="Book Antiqua" w:cs="Times New Roman"/>
          <w:sz w:val="24"/>
          <w:szCs w:val="24"/>
          <w:lang w:val="en-US"/>
        </w:rPr>
        <w:t>r</w:t>
      </w:r>
      <w:r>
        <w:rPr>
          <w:rFonts w:ascii="Book Antiqua" w:hAnsi="Book Antiqua" w:cs="Times New Roman"/>
          <w:sz w:val="24"/>
          <w:szCs w:val="24"/>
          <w:lang w:val="en-US"/>
        </w:rPr>
        <w:t>o</w:t>
      </w:r>
      <w:r w:rsidR="00716778" w:rsidRPr="00263791">
        <w:rPr>
          <w:rFonts w:ascii="Book Antiqua" w:hAnsi="Book Antiqua" w:cs="Times New Roman"/>
          <w:sz w:val="24"/>
          <w:szCs w:val="24"/>
          <w:lang w:val="en-US"/>
        </w:rPr>
        <w:t xml:space="preserve">m the northern </w:t>
      </w:r>
      <w:r w:rsidR="00BC51EE">
        <w:rPr>
          <w:rFonts w:ascii="Book Antiqua" w:hAnsi="Book Antiqua" w:cs="Times New Roman"/>
          <w:sz w:val="24"/>
          <w:szCs w:val="24"/>
          <w:lang w:val="en-US"/>
        </w:rPr>
        <w:t>i</w:t>
      </w:r>
      <w:r w:rsidR="00716778" w:rsidRPr="00263791">
        <w:rPr>
          <w:rFonts w:ascii="Book Antiqua" w:hAnsi="Book Antiqua" w:cs="Times New Roman"/>
          <w:sz w:val="24"/>
          <w:szCs w:val="24"/>
          <w:lang w:val="en-US"/>
        </w:rPr>
        <w:t>slands to und</w:t>
      </w:r>
      <w:r>
        <w:rPr>
          <w:rFonts w:ascii="Book Antiqua" w:hAnsi="Book Antiqua" w:cs="Times New Roman"/>
          <w:sz w:val="24"/>
          <w:szCs w:val="24"/>
          <w:lang w:val="en-US"/>
        </w:rPr>
        <w:t>amaged facilities elsewhere in T</w:t>
      </w:r>
      <w:r w:rsidR="00716778" w:rsidRPr="00263791">
        <w:rPr>
          <w:rFonts w:ascii="Book Antiqua" w:hAnsi="Book Antiqua" w:cs="Times New Roman"/>
          <w:sz w:val="24"/>
          <w:szCs w:val="24"/>
          <w:lang w:val="en-US"/>
        </w:rPr>
        <w:t>he Bahamas.</w:t>
      </w:r>
    </w:p>
    <w:p w14:paraId="0B572CCB" w14:textId="6D78EC3B" w:rsidR="00F71EFB" w:rsidRPr="00B4523E" w:rsidRDefault="00F71EFB" w:rsidP="000F331F">
      <w:pPr>
        <w:pStyle w:val="Heading2"/>
      </w:pPr>
      <w:r w:rsidRPr="00B4523E">
        <w:t>Resilience Post-Natural Disasters</w:t>
      </w:r>
    </w:p>
    <w:p w14:paraId="3EFACFA3" w14:textId="42D574AE" w:rsidR="00716778" w:rsidRDefault="00716778" w:rsidP="00B4523E">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At this point</w:t>
      </w:r>
      <w:r w:rsidR="00BD6279">
        <w:rPr>
          <w:rFonts w:ascii="Book Antiqua" w:hAnsi="Book Antiqua" w:cs="Times New Roman"/>
          <w:sz w:val="24"/>
          <w:szCs w:val="24"/>
          <w:lang w:val="en-US"/>
        </w:rPr>
        <w:t>,</w:t>
      </w:r>
      <w:r>
        <w:rPr>
          <w:rFonts w:ascii="Book Antiqua" w:hAnsi="Book Antiqua" w:cs="Times New Roman"/>
          <w:sz w:val="24"/>
          <w:szCs w:val="24"/>
          <w:lang w:val="en-US"/>
        </w:rPr>
        <w:t xml:space="preserve"> I would like to delve deeper into the topic of resilience. </w:t>
      </w:r>
    </w:p>
    <w:p w14:paraId="542AE733" w14:textId="55D89EFA" w:rsidR="004B7583" w:rsidRPr="00B4523E" w:rsidRDefault="00AE4D28" w:rsidP="00B4523E">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 xml:space="preserve">Drawing on the work of the </w:t>
      </w:r>
      <w:r w:rsidR="008312E4">
        <w:rPr>
          <w:rFonts w:ascii="Book Antiqua" w:hAnsi="Book Antiqua" w:cs="Times New Roman"/>
          <w:sz w:val="24"/>
          <w:szCs w:val="24"/>
          <w:lang w:val="en-US"/>
        </w:rPr>
        <w:t>IMF</w:t>
      </w:r>
      <w:r w:rsidR="007D3E34">
        <w:rPr>
          <w:rFonts w:ascii="Book Antiqua" w:hAnsi="Book Antiqua" w:cs="Times New Roman"/>
          <w:sz w:val="24"/>
          <w:szCs w:val="24"/>
          <w:lang w:val="en-US"/>
        </w:rPr>
        <w:t>,</w:t>
      </w:r>
      <w:r w:rsidR="008312E4">
        <w:rPr>
          <w:rFonts w:ascii="Book Antiqua" w:hAnsi="Book Antiqua" w:cs="Times New Roman"/>
          <w:sz w:val="24"/>
          <w:szCs w:val="24"/>
          <w:lang w:val="en-US"/>
        </w:rPr>
        <w:t xml:space="preserve"> the </w:t>
      </w:r>
      <w:r>
        <w:rPr>
          <w:rFonts w:ascii="Book Antiqua" w:hAnsi="Book Antiqua" w:cs="Times New Roman"/>
          <w:sz w:val="24"/>
          <w:szCs w:val="24"/>
          <w:lang w:val="en-US"/>
        </w:rPr>
        <w:t>World Bank and others</w:t>
      </w:r>
      <w:r w:rsidR="008312E4">
        <w:rPr>
          <w:rFonts w:ascii="Book Antiqua" w:hAnsi="Book Antiqua" w:cs="Times New Roman"/>
          <w:sz w:val="24"/>
          <w:szCs w:val="24"/>
          <w:lang w:val="en-US"/>
        </w:rPr>
        <w:t>,</w:t>
      </w:r>
      <w:r>
        <w:rPr>
          <w:rFonts w:ascii="Book Antiqua" w:hAnsi="Book Antiqua" w:cs="Times New Roman"/>
          <w:sz w:val="24"/>
          <w:szCs w:val="24"/>
          <w:lang w:val="en-US"/>
        </w:rPr>
        <w:t xml:space="preserve"> </w:t>
      </w:r>
      <w:r w:rsidR="00A52895" w:rsidRPr="00B4523E">
        <w:rPr>
          <w:rFonts w:ascii="Book Antiqua" w:hAnsi="Book Antiqua" w:cs="Times New Roman"/>
          <w:sz w:val="24"/>
          <w:szCs w:val="24"/>
          <w:lang w:val="en-US"/>
        </w:rPr>
        <w:t>a framework</w:t>
      </w:r>
      <w:r w:rsidR="008312E4">
        <w:rPr>
          <w:rFonts w:ascii="Book Antiqua" w:hAnsi="Book Antiqua" w:cs="Times New Roman"/>
          <w:sz w:val="24"/>
          <w:szCs w:val="24"/>
          <w:lang w:val="en-US"/>
        </w:rPr>
        <w:t xml:space="preserve"> </w:t>
      </w:r>
      <w:r w:rsidR="00A52895" w:rsidRPr="00B4523E">
        <w:rPr>
          <w:rFonts w:ascii="Book Antiqua" w:hAnsi="Book Antiqua" w:cs="Times New Roman"/>
          <w:sz w:val="24"/>
          <w:szCs w:val="24"/>
          <w:lang w:val="en-US"/>
        </w:rPr>
        <w:t xml:space="preserve">for </w:t>
      </w:r>
      <w:r>
        <w:rPr>
          <w:rFonts w:ascii="Book Antiqua" w:hAnsi="Book Antiqua" w:cs="Times New Roman"/>
          <w:sz w:val="24"/>
          <w:szCs w:val="24"/>
          <w:lang w:val="en-US"/>
        </w:rPr>
        <w:t xml:space="preserve">building </w:t>
      </w:r>
      <w:r w:rsidR="00A52895" w:rsidRPr="00B4523E">
        <w:rPr>
          <w:rFonts w:ascii="Book Antiqua" w:hAnsi="Book Antiqua" w:cs="Times New Roman"/>
          <w:sz w:val="24"/>
          <w:szCs w:val="24"/>
          <w:lang w:val="en-US"/>
        </w:rPr>
        <w:t xml:space="preserve">resilience </w:t>
      </w:r>
      <w:r>
        <w:rPr>
          <w:rFonts w:ascii="Book Antiqua" w:hAnsi="Book Antiqua" w:cs="Times New Roman"/>
          <w:sz w:val="24"/>
          <w:szCs w:val="24"/>
          <w:lang w:val="en-US"/>
        </w:rPr>
        <w:t xml:space="preserve">would consider </w:t>
      </w:r>
      <w:r w:rsidR="00A52895" w:rsidRPr="00B4523E">
        <w:rPr>
          <w:rFonts w:ascii="Book Antiqua" w:hAnsi="Book Antiqua" w:cs="Times New Roman"/>
          <w:sz w:val="24"/>
          <w:szCs w:val="24"/>
          <w:lang w:val="en-US"/>
        </w:rPr>
        <w:t xml:space="preserve">three major elements: </w:t>
      </w:r>
      <w:r>
        <w:rPr>
          <w:rFonts w:ascii="Book Antiqua" w:hAnsi="Book Antiqua" w:cs="Times New Roman"/>
          <w:sz w:val="24"/>
          <w:szCs w:val="24"/>
          <w:lang w:val="en-US"/>
        </w:rPr>
        <w:t xml:space="preserve">the </w:t>
      </w:r>
      <w:r w:rsidR="00A52895" w:rsidRPr="00B4523E">
        <w:rPr>
          <w:rFonts w:ascii="Book Antiqua" w:hAnsi="Book Antiqua" w:cs="Times New Roman"/>
          <w:sz w:val="24"/>
          <w:szCs w:val="24"/>
          <w:lang w:val="en-US"/>
        </w:rPr>
        <w:t>physical</w:t>
      </w:r>
      <w:r w:rsidR="0062211F">
        <w:rPr>
          <w:rFonts w:ascii="Book Antiqua" w:hAnsi="Book Antiqua" w:cs="Times New Roman"/>
          <w:sz w:val="24"/>
          <w:szCs w:val="24"/>
          <w:lang w:val="en-US"/>
        </w:rPr>
        <w:t xml:space="preserve"> or </w:t>
      </w:r>
      <w:r w:rsidR="00A52895" w:rsidRPr="00B4523E">
        <w:rPr>
          <w:rFonts w:ascii="Book Antiqua" w:hAnsi="Book Antiqua" w:cs="Times New Roman"/>
          <w:sz w:val="24"/>
          <w:szCs w:val="24"/>
          <w:lang w:val="en-US"/>
        </w:rPr>
        <w:t xml:space="preserve">structural </w:t>
      </w:r>
      <w:r>
        <w:rPr>
          <w:rFonts w:ascii="Book Antiqua" w:hAnsi="Book Antiqua" w:cs="Times New Roman"/>
          <w:sz w:val="24"/>
          <w:szCs w:val="24"/>
          <w:lang w:val="en-US"/>
        </w:rPr>
        <w:t>infrastructure</w:t>
      </w:r>
      <w:r w:rsidR="00A52895" w:rsidRPr="00B4523E">
        <w:rPr>
          <w:rFonts w:ascii="Book Antiqua" w:hAnsi="Book Antiqua" w:cs="Times New Roman"/>
          <w:sz w:val="24"/>
          <w:szCs w:val="24"/>
          <w:lang w:val="en-US"/>
        </w:rPr>
        <w:t xml:space="preserve">, financial </w:t>
      </w:r>
      <w:r w:rsidR="00CC43D4">
        <w:rPr>
          <w:rFonts w:ascii="Book Antiqua" w:hAnsi="Book Antiqua" w:cs="Times New Roman"/>
          <w:sz w:val="24"/>
          <w:szCs w:val="24"/>
          <w:lang w:val="en-US"/>
        </w:rPr>
        <w:t>factors</w:t>
      </w:r>
      <w:r w:rsidR="00A52895" w:rsidRPr="00B4523E">
        <w:rPr>
          <w:rFonts w:ascii="Book Antiqua" w:hAnsi="Book Antiqua" w:cs="Times New Roman"/>
          <w:sz w:val="24"/>
          <w:szCs w:val="24"/>
          <w:lang w:val="en-US"/>
        </w:rPr>
        <w:t xml:space="preserve"> and</w:t>
      </w:r>
      <w:r w:rsidR="00254216" w:rsidRPr="00B4523E">
        <w:rPr>
          <w:rFonts w:ascii="Book Antiqua" w:hAnsi="Book Antiqua" w:cs="Times New Roman"/>
          <w:sz w:val="24"/>
          <w:szCs w:val="24"/>
          <w:lang w:val="en-US"/>
        </w:rPr>
        <w:t xml:space="preserve"> </w:t>
      </w:r>
      <w:r>
        <w:rPr>
          <w:rFonts w:ascii="Book Antiqua" w:hAnsi="Book Antiqua" w:cs="Times New Roman"/>
          <w:sz w:val="24"/>
          <w:szCs w:val="24"/>
          <w:lang w:val="en-US"/>
        </w:rPr>
        <w:t xml:space="preserve">the </w:t>
      </w:r>
      <w:r w:rsidR="00254216" w:rsidRPr="00B4523E">
        <w:rPr>
          <w:rFonts w:ascii="Book Antiqua" w:hAnsi="Book Antiqua" w:cs="Times New Roman"/>
          <w:sz w:val="24"/>
          <w:szCs w:val="24"/>
          <w:lang w:val="en-US"/>
        </w:rPr>
        <w:t>social</w:t>
      </w:r>
      <w:r w:rsidR="00A028F5">
        <w:rPr>
          <w:rFonts w:ascii="Book Antiqua" w:hAnsi="Book Antiqua" w:cs="Times New Roman"/>
          <w:sz w:val="24"/>
          <w:szCs w:val="24"/>
          <w:lang w:val="en-US"/>
        </w:rPr>
        <w:t xml:space="preserve">, </w:t>
      </w:r>
      <w:r w:rsidR="00254216" w:rsidRPr="00B4523E">
        <w:rPr>
          <w:rFonts w:ascii="Book Antiqua" w:hAnsi="Book Antiqua" w:cs="Times New Roman"/>
          <w:sz w:val="24"/>
          <w:szCs w:val="24"/>
          <w:lang w:val="en-US"/>
        </w:rPr>
        <w:t xml:space="preserve">post-disaster resilience. </w:t>
      </w:r>
      <w:r w:rsidR="00C5201C">
        <w:rPr>
          <w:rFonts w:ascii="Book Antiqua" w:hAnsi="Book Antiqua" w:cs="Times New Roman"/>
          <w:sz w:val="24"/>
          <w:szCs w:val="24"/>
          <w:lang w:val="en-US"/>
        </w:rPr>
        <w:t xml:space="preserve"> </w:t>
      </w:r>
      <w:r>
        <w:rPr>
          <w:rFonts w:ascii="Book Antiqua" w:hAnsi="Book Antiqua" w:cs="Times New Roman"/>
          <w:sz w:val="24"/>
          <w:szCs w:val="24"/>
          <w:lang w:val="en-US"/>
        </w:rPr>
        <w:t xml:space="preserve">I will keep the focus today on </w:t>
      </w:r>
      <w:r w:rsidR="00254216" w:rsidRPr="00B4523E">
        <w:rPr>
          <w:rFonts w:ascii="Book Antiqua" w:hAnsi="Book Antiqua" w:cs="Times New Roman"/>
          <w:sz w:val="24"/>
          <w:szCs w:val="24"/>
          <w:lang w:val="en-US"/>
        </w:rPr>
        <w:t>financial resilience.</w:t>
      </w:r>
      <w:r w:rsidR="00522BAE">
        <w:rPr>
          <w:rStyle w:val="FootnoteReference"/>
          <w:rFonts w:ascii="Book Antiqua" w:hAnsi="Book Antiqua" w:cs="Times New Roman"/>
          <w:sz w:val="24"/>
          <w:szCs w:val="24"/>
          <w:lang w:val="en-US"/>
        </w:rPr>
        <w:footnoteReference w:id="6"/>
      </w:r>
      <w:r w:rsidR="00522BAE">
        <w:rPr>
          <w:rFonts w:ascii="Book Antiqua" w:hAnsi="Book Antiqua" w:cs="Times New Roman"/>
          <w:sz w:val="24"/>
          <w:szCs w:val="24"/>
          <w:lang w:val="en-US"/>
        </w:rPr>
        <w:t xml:space="preserve">  That said, both social and infrastructural vulnerabilities </w:t>
      </w:r>
      <w:r w:rsidR="00A42144">
        <w:rPr>
          <w:rFonts w:ascii="Book Antiqua" w:hAnsi="Book Antiqua" w:cs="Times New Roman"/>
          <w:sz w:val="24"/>
          <w:szCs w:val="24"/>
          <w:lang w:val="en-US"/>
        </w:rPr>
        <w:t xml:space="preserve">still </w:t>
      </w:r>
      <w:r w:rsidR="00522BAE">
        <w:rPr>
          <w:rFonts w:ascii="Book Antiqua" w:hAnsi="Book Antiqua" w:cs="Times New Roman"/>
          <w:sz w:val="24"/>
          <w:szCs w:val="24"/>
          <w:lang w:val="en-US"/>
        </w:rPr>
        <w:t xml:space="preserve">reduce to financial costs that </w:t>
      </w:r>
      <w:r w:rsidR="00A42144">
        <w:rPr>
          <w:rFonts w:ascii="Book Antiqua" w:hAnsi="Book Antiqua" w:cs="Times New Roman"/>
          <w:sz w:val="24"/>
          <w:szCs w:val="24"/>
          <w:lang w:val="en-US"/>
        </w:rPr>
        <w:t xml:space="preserve">ought </w:t>
      </w:r>
      <w:r w:rsidR="00522BAE">
        <w:rPr>
          <w:rFonts w:ascii="Book Antiqua" w:hAnsi="Book Antiqua" w:cs="Times New Roman"/>
          <w:sz w:val="24"/>
          <w:szCs w:val="24"/>
          <w:lang w:val="en-US"/>
        </w:rPr>
        <w:t xml:space="preserve">to </w:t>
      </w:r>
      <w:r w:rsidR="00C5201C">
        <w:rPr>
          <w:rFonts w:ascii="Book Antiqua" w:hAnsi="Book Antiqua" w:cs="Times New Roman"/>
          <w:sz w:val="24"/>
          <w:szCs w:val="24"/>
          <w:lang w:val="en-US"/>
        </w:rPr>
        <w:t xml:space="preserve">be </w:t>
      </w:r>
      <w:r w:rsidR="00522BAE">
        <w:rPr>
          <w:rFonts w:ascii="Book Antiqua" w:hAnsi="Book Antiqua" w:cs="Times New Roman"/>
          <w:sz w:val="24"/>
          <w:szCs w:val="24"/>
          <w:lang w:val="en-US"/>
        </w:rPr>
        <w:t>address</w:t>
      </w:r>
      <w:r w:rsidR="00C5201C">
        <w:rPr>
          <w:rFonts w:ascii="Book Antiqua" w:hAnsi="Book Antiqua" w:cs="Times New Roman"/>
          <w:sz w:val="24"/>
          <w:szCs w:val="24"/>
          <w:lang w:val="en-US"/>
        </w:rPr>
        <w:t>ed</w:t>
      </w:r>
      <w:r w:rsidR="00522BAE">
        <w:rPr>
          <w:rFonts w:ascii="Book Antiqua" w:hAnsi="Book Antiqua" w:cs="Times New Roman"/>
          <w:sz w:val="24"/>
          <w:szCs w:val="24"/>
          <w:lang w:val="en-US"/>
        </w:rPr>
        <w:t xml:space="preserve"> in polic</w:t>
      </w:r>
      <w:r w:rsidR="00234EB5">
        <w:rPr>
          <w:rFonts w:ascii="Book Antiqua" w:hAnsi="Book Antiqua" w:cs="Times New Roman"/>
          <w:sz w:val="24"/>
          <w:szCs w:val="24"/>
          <w:lang w:val="en-US"/>
        </w:rPr>
        <w:t>ies</w:t>
      </w:r>
      <w:r w:rsidR="00522BAE">
        <w:rPr>
          <w:rFonts w:ascii="Book Antiqua" w:hAnsi="Book Antiqua" w:cs="Times New Roman"/>
          <w:sz w:val="24"/>
          <w:szCs w:val="24"/>
          <w:lang w:val="en-US"/>
        </w:rPr>
        <w:t xml:space="preserve"> that build buffers and provide ample insurance for</w:t>
      </w:r>
      <w:r w:rsidR="004F1182">
        <w:rPr>
          <w:rFonts w:ascii="Book Antiqua" w:hAnsi="Book Antiqua" w:cs="Times New Roman"/>
          <w:sz w:val="24"/>
          <w:szCs w:val="24"/>
          <w:lang w:val="en-US"/>
        </w:rPr>
        <w:t xml:space="preserve"> both </w:t>
      </w:r>
      <w:r w:rsidR="00522BAE">
        <w:rPr>
          <w:rFonts w:ascii="Book Antiqua" w:hAnsi="Book Antiqua" w:cs="Times New Roman"/>
          <w:sz w:val="24"/>
          <w:szCs w:val="24"/>
          <w:lang w:val="en-US"/>
        </w:rPr>
        <w:t xml:space="preserve"> public sector interests and private households.</w:t>
      </w:r>
    </w:p>
    <w:p w14:paraId="39A254A0" w14:textId="7FD4D05B" w:rsidR="003C6C7F" w:rsidRPr="00B4523E" w:rsidRDefault="003C6C7F" w:rsidP="000F331F">
      <w:pPr>
        <w:pStyle w:val="Heading2"/>
      </w:pPr>
      <w:r w:rsidRPr="00B4523E">
        <w:t>Financial Resilience</w:t>
      </w:r>
    </w:p>
    <w:p w14:paraId="59E338BF" w14:textId="2D854AAC" w:rsidR="009545CA" w:rsidRPr="00B4523E" w:rsidRDefault="00A42144" w:rsidP="00B4523E">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 xml:space="preserve">For the </w:t>
      </w:r>
      <w:r w:rsidR="00444E4E">
        <w:rPr>
          <w:rFonts w:ascii="Book Antiqua" w:hAnsi="Book Antiqua" w:cs="Times New Roman"/>
          <w:sz w:val="24"/>
          <w:szCs w:val="24"/>
          <w:lang w:val="en-US"/>
        </w:rPr>
        <w:t>public sector</w:t>
      </w:r>
      <w:r>
        <w:rPr>
          <w:rFonts w:ascii="Book Antiqua" w:hAnsi="Book Antiqua" w:cs="Times New Roman"/>
          <w:sz w:val="24"/>
          <w:szCs w:val="24"/>
          <w:lang w:val="en-US"/>
        </w:rPr>
        <w:t>, t</w:t>
      </w:r>
      <w:r w:rsidR="003C6FD8" w:rsidRPr="00B4523E">
        <w:rPr>
          <w:rFonts w:ascii="Book Antiqua" w:hAnsi="Book Antiqua" w:cs="Times New Roman"/>
          <w:sz w:val="24"/>
          <w:szCs w:val="24"/>
          <w:lang w:val="en-US"/>
        </w:rPr>
        <w:t>he World</w:t>
      </w:r>
      <w:r w:rsidR="00522BAE">
        <w:rPr>
          <w:rFonts w:ascii="Book Antiqua" w:hAnsi="Book Antiqua" w:cs="Times New Roman"/>
          <w:sz w:val="24"/>
          <w:szCs w:val="24"/>
          <w:lang w:val="en-US"/>
        </w:rPr>
        <w:t xml:space="preserve"> </w:t>
      </w:r>
      <w:r w:rsidR="003C6FD8" w:rsidRPr="00B4523E">
        <w:rPr>
          <w:rFonts w:ascii="Book Antiqua" w:hAnsi="Book Antiqua" w:cs="Times New Roman"/>
          <w:sz w:val="24"/>
          <w:szCs w:val="24"/>
          <w:lang w:val="en-US"/>
        </w:rPr>
        <w:t>Bank</w:t>
      </w:r>
      <w:r w:rsidR="00C5201C">
        <w:rPr>
          <w:rFonts w:ascii="Book Antiqua" w:hAnsi="Book Antiqua" w:cs="Times New Roman"/>
          <w:sz w:val="24"/>
          <w:szCs w:val="24"/>
          <w:lang w:val="en-US"/>
        </w:rPr>
        <w:t xml:space="preserve"> and IMF inspired</w:t>
      </w:r>
      <w:r w:rsidR="00522BAE">
        <w:rPr>
          <w:rFonts w:ascii="Book Antiqua" w:hAnsi="Book Antiqua" w:cs="Times New Roman"/>
          <w:sz w:val="24"/>
          <w:szCs w:val="24"/>
          <w:lang w:val="en-US"/>
        </w:rPr>
        <w:t xml:space="preserve"> </w:t>
      </w:r>
      <w:r w:rsidR="009545CA" w:rsidRPr="00B4523E">
        <w:rPr>
          <w:rFonts w:ascii="Book Antiqua" w:hAnsi="Book Antiqua" w:cs="Times New Roman"/>
          <w:sz w:val="24"/>
          <w:szCs w:val="24"/>
          <w:lang w:val="en-US"/>
        </w:rPr>
        <w:t>multi-layer</w:t>
      </w:r>
      <w:r>
        <w:rPr>
          <w:rFonts w:ascii="Book Antiqua" w:hAnsi="Book Antiqua" w:cs="Times New Roman"/>
          <w:sz w:val="24"/>
          <w:szCs w:val="24"/>
          <w:lang w:val="en-US"/>
        </w:rPr>
        <w:t>ed</w:t>
      </w:r>
      <w:r w:rsidR="009545CA" w:rsidRPr="00B4523E">
        <w:rPr>
          <w:rFonts w:ascii="Book Antiqua" w:hAnsi="Book Antiqua" w:cs="Times New Roman"/>
          <w:sz w:val="24"/>
          <w:szCs w:val="24"/>
          <w:lang w:val="en-US"/>
        </w:rPr>
        <w:t xml:space="preserve"> approach </w:t>
      </w:r>
      <w:r>
        <w:rPr>
          <w:rFonts w:ascii="Book Antiqua" w:hAnsi="Book Antiqua" w:cs="Times New Roman"/>
          <w:sz w:val="24"/>
          <w:szCs w:val="24"/>
          <w:lang w:val="en-US"/>
        </w:rPr>
        <w:t xml:space="preserve">to </w:t>
      </w:r>
      <w:r w:rsidR="009545CA" w:rsidRPr="00B4523E">
        <w:rPr>
          <w:rFonts w:ascii="Book Antiqua" w:hAnsi="Book Antiqua" w:cs="Times New Roman"/>
          <w:sz w:val="24"/>
          <w:szCs w:val="24"/>
          <w:lang w:val="en-US"/>
        </w:rPr>
        <w:t>manag</w:t>
      </w:r>
      <w:r>
        <w:rPr>
          <w:rFonts w:ascii="Book Antiqua" w:hAnsi="Book Antiqua" w:cs="Times New Roman"/>
          <w:sz w:val="24"/>
          <w:szCs w:val="24"/>
          <w:lang w:val="en-US"/>
        </w:rPr>
        <w:t>ing</w:t>
      </w:r>
      <w:r w:rsidR="009545CA" w:rsidRPr="00B4523E">
        <w:rPr>
          <w:rFonts w:ascii="Book Antiqua" w:hAnsi="Book Antiqua" w:cs="Times New Roman"/>
          <w:sz w:val="24"/>
          <w:szCs w:val="24"/>
          <w:lang w:val="en-US"/>
        </w:rPr>
        <w:t xml:space="preserve"> </w:t>
      </w:r>
      <w:r>
        <w:rPr>
          <w:rFonts w:ascii="Book Antiqua" w:hAnsi="Book Antiqua" w:cs="Times New Roman"/>
          <w:sz w:val="24"/>
          <w:szCs w:val="24"/>
          <w:lang w:val="en-US"/>
        </w:rPr>
        <w:t xml:space="preserve">the </w:t>
      </w:r>
      <w:r w:rsidR="009545CA" w:rsidRPr="00B4523E">
        <w:rPr>
          <w:rFonts w:ascii="Book Antiqua" w:hAnsi="Book Antiqua" w:cs="Times New Roman"/>
          <w:sz w:val="24"/>
          <w:szCs w:val="24"/>
          <w:lang w:val="en-US"/>
        </w:rPr>
        <w:t xml:space="preserve">fiscal and macroeconomic </w:t>
      </w:r>
      <w:r>
        <w:rPr>
          <w:rFonts w:ascii="Book Antiqua" w:hAnsi="Book Antiqua" w:cs="Times New Roman"/>
          <w:sz w:val="24"/>
          <w:szCs w:val="24"/>
          <w:lang w:val="en-US"/>
        </w:rPr>
        <w:t xml:space="preserve">risks </w:t>
      </w:r>
      <w:r w:rsidR="009545CA" w:rsidRPr="00B4523E">
        <w:rPr>
          <w:rFonts w:ascii="Book Antiqua" w:hAnsi="Book Antiqua" w:cs="Times New Roman"/>
          <w:sz w:val="24"/>
          <w:szCs w:val="24"/>
          <w:lang w:val="en-US"/>
        </w:rPr>
        <w:t>of natural disasters</w:t>
      </w:r>
      <w:r>
        <w:rPr>
          <w:rFonts w:ascii="Book Antiqua" w:hAnsi="Book Antiqua" w:cs="Times New Roman"/>
          <w:sz w:val="24"/>
          <w:szCs w:val="24"/>
          <w:lang w:val="en-US"/>
        </w:rPr>
        <w:t xml:space="preserve"> focus on four areas</w:t>
      </w:r>
      <w:r w:rsidR="009545CA" w:rsidRPr="00B4523E">
        <w:rPr>
          <w:rFonts w:ascii="Book Antiqua" w:hAnsi="Book Antiqua" w:cs="Times New Roman"/>
          <w:sz w:val="24"/>
          <w:szCs w:val="24"/>
          <w:lang w:val="en-US"/>
        </w:rPr>
        <w:t>. They include:</w:t>
      </w:r>
    </w:p>
    <w:p w14:paraId="7DFC40F3" w14:textId="273E0518" w:rsidR="009545CA" w:rsidRPr="00B4523E" w:rsidRDefault="009319AF" w:rsidP="00B4523E">
      <w:pPr>
        <w:pStyle w:val="ListParagraph"/>
        <w:numPr>
          <w:ilvl w:val="0"/>
          <w:numId w:val="1"/>
        </w:numPr>
        <w:spacing w:line="360" w:lineRule="auto"/>
        <w:jc w:val="both"/>
        <w:rPr>
          <w:rFonts w:ascii="Book Antiqua" w:hAnsi="Book Antiqua" w:cs="Times New Roman"/>
          <w:sz w:val="24"/>
          <w:szCs w:val="24"/>
          <w:lang w:val="en-US"/>
        </w:rPr>
      </w:pPr>
      <w:r w:rsidRPr="00B4523E">
        <w:rPr>
          <w:rFonts w:ascii="Book Antiqua" w:hAnsi="Book Antiqua" w:cs="Times New Roman"/>
          <w:sz w:val="24"/>
          <w:szCs w:val="24"/>
          <w:lang w:val="en-US"/>
        </w:rPr>
        <w:t>Fiscal buffers (</w:t>
      </w:r>
      <w:r w:rsidR="00522BAE">
        <w:rPr>
          <w:rFonts w:ascii="Book Antiqua" w:hAnsi="Book Antiqua" w:cs="Times New Roman"/>
          <w:sz w:val="24"/>
          <w:szCs w:val="24"/>
          <w:lang w:val="en-US"/>
        </w:rPr>
        <w:t xml:space="preserve">as a means of </w:t>
      </w:r>
      <w:r w:rsidRPr="00B4523E">
        <w:rPr>
          <w:rFonts w:ascii="Book Antiqua" w:hAnsi="Book Antiqua" w:cs="Times New Roman"/>
          <w:sz w:val="24"/>
          <w:szCs w:val="24"/>
          <w:lang w:val="en-US"/>
        </w:rPr>
        <w:t>self-insurance)</w:t>
      </w:r>
    </w:p>
    <w:p w14:paraId="58DBA951" w14:textId="2D3B14F3" w:rsidR="009319AF" w:rsidRPr="00B4523E" w:rsidRDefault="00A42144" w:rsidP="00B4523E">
      <w:pPr>
        <w:pStyle w:val="ListParagraph"/>
        <w:numPr>
          <w:ilvl w:val="0"/>
          <w:numId w:val="1"/>
        </w:num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Securing d</w:t>
      </w:r>
      <w:r w:rsidR="00522BAE">
        <w:rPr>
          <w:rFonts w:ascii="Book Antiqua" w:hAnsi="Book Antiqua" w:cs="Times New Roman"/>
          <w:sz w:val="24"/>
          <w:szCs w:val="24"/>
          <w:lang w:val="en-US"/>
        </w:rPr>
        <w:t>irect i</w:t>
      </w:r>
      <w:r w:rsidR="009319AF" w:rsidRPr="00B4523E">
        <w:rPr>
          <w:rFonts w:ascii="Book Antiqua" w:hAnsi="Book Antiqua" w:cs="Times New Roman"/>
          <w:sz w:val="24"/>
          <w:szCs w:val="24"/>
          <w:lang w:val="en-US"/>
        </w:rPr>
        <w:t>nsurance (</w:t>
      </w:r>
      <w:r w:rsidR="001A5B17">
        <w:rPr>
          <w:rFonts w:ascii="Book Antiqua" w:hAnsi="Book Antiqua" w:cs="Times New Roman"/>
          <w:sz w:val="24"/>
          <w:szCs w:val="24"/>
          <w:lang w:val="en-US"/>
        </w:rPr>
        <w:t xml:space="preserve">through </w:t>
      </w:r>
      <w:r w:rsidR="009319AF" w:rsidRPr="00B4523E">
        <w:rPr>
          <w:rFonts w:ascii="Book Antiqua" w:hAnsi="Book Antiqua" w:cs="Times New Roman"/>
          <w:sz w:val="24"/>
          <w:szCs w:val="24"/>
          <w:lang w:val="en-US"/>
        </w:rPr>
        <w:t>risk-pooling mechanisms)</w:t>
      </w:r>
    </w:p>
    <w:p w14:paraId="0C334E4D" w14:textId="3373D776" w:rsidR="009319AF" w:rsidRPr="00B4523E" w:rsidRDefault="009319AF" w:rsidP="00B4523E">
      <w:pPr>
        <w:pStyle w:val="ListParagraph"/>
        <w:numPr>
          <w:ilvl w:val="0"/>
          <w:numId w:val="1"/>
        </w:numPr>
        <w:spacing w:line="360" w:lineRule="auto"/>
        <w:jc w:val="both"/>
        <w:rPr>
          <w:rFonts w:ascii="Book Antiqua" w:hAnsi="Book Antiqua" w:cs="Times New Roman"/>
          <w:sz w:val="24"/>
          <w:szCs w:val="24"/>
          <w:lang w:val="en-US"/>
        </w:rPr>
      </w:pPr>
      <w:r w:rsidRPr="00B4523E">
        <w:rPr>
          <w:rFonts w:ascii="Book Antiqua" w:hAnsi="Book Antiqua" w:cs="Times New Roman"/>
          <w:sz w:val="24"/>
          <w:szCs w:val="24"/>
          <w:lang w:val="en-US"/>
        </w:rPr>
        <w:t>Pre-arrang</w:t>
      </w:r>
      <w:r w:rsidR="00A42144">
        <w:rPr>
          <w:rFonts w:ascii="Book Antiqua" w:hAnsi="Book Antiqua" w:cs="Times New Roman"/>
          <w:sz w:val="24"/>
          <w:szCs w:val="24"/>
          <w:lang w:val="en-US"/>
        </w:rPr>
        <w:t>ing</w:t>
      </w:r>
      <w:r w:rsidRPr="00B4523E">
        <w:rPr>
          <w:rFonts w:ascii="Book Antiqua" w:hAnsi="Book Antiqua" w:cs="Times New Roman"/>
          <w:sz w:val="24"/>
          <w:szCs w:val="24"/>
          <w:lang w:val="en-US"/>
        </w:rPr>
        <w:t xml:space="preserve"> </w:t>
      </w:r>
      <w:r w:rsidR="00A42144">
        <w:rPr>
          <w:rFonts w:ascii="Book Antiqua" w:hAnsi="Book Antiqua" w:cs="Times New Roman"/>
          <w:sz w:val="24"/>
          <w:szCs w:val="24"/>
          <w:lang w:val="en-US"/>
        </w:rPr>
        <w:t xml:space="preserve">emergency access to </w:t>
      </w:r>
      <w:r w:rsidRPr="00B4523E">
        <w:rPr>
          <w:rFonts w:ascii="Book Antiqua" w:hAnsi="Book Antiqua" w:cs="Times New Roman"/>
          <w:sz w:val="24"/>
          <w:szCs w:val="24"/>
          <w:lang w:val="en-US"/>
        </w:rPr>
        <w:t>credit</w:t>
      </w:r>
      <w:r w:rsidR="00522BAE">
        <w:rPr>
          <w:rFonts w:ascii="Book Antiqua" w:hAnsi="Book Antiqua" w:cs="Times New Roman"/>
          <w:sz w:val="24"/>
          <w:szCs w:val="24"/>
          <w:lang w:val="en-US"/>
        </w:rPr>
        <w:t xml:space="preserve"> (for rapid response)</w:t>
      </w:r>
    </w:p>
    <w:p w14:paraId="093E1312" w14:textId="472C43B8" w:rsidR="009319AF" w:rsidRPr="00B4523E" w:rsidRDefault="00A42144" w:rsidP="00B4523E">
      <w:pPr>
        <w:pStyle w:val="ListParagraph"/>
        <w:numPr>
          <w:ilvl w:val="0"/>
          <w:numId w:val="1"/>
        </w:num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Securing a</w:t>
      </w:r>
      <w:r w:rsidR="00522BAE">
        <w:rPr>
          <w:rFonts w:ascii="Book Antiqua" w:hAnsi="Book Antiqua" w:cs="Times New Roman"/>
          <w:sz w:val="24"/>
          <w:szCs w:val="24"/>
          <w:lang w:val="en-US"/>
        </w:rPr>
        <w:t xml:space="preserve">ccess to </w:t>
      </w:r>
      <w:r w:rsidR="00E708A8">
        <w:rPr>
          <w:rFonts w:ascii="Book Antiqua" w:hAnsi="Book Antiqua" w:cs="Times New Roman"/>
          <w:sz w:val="24"/>
          <w:szCs w:val="24"/>
          <w:lang w:val="en-US"/>
        </w:rPr>
        <w:t xml:space="preserve">international </w:t>
      </w:r>
      <w:r w:rsidR="00522BAE">
        <w:rPr>
          <w:rFonts w:ascii="Book Antiqua" w:hAnsi="Book Antiqua" w:cs="Times New Roman"/>
          <w:sz w:val="24"/>
          <w:szCs w:val="24"/>
          <w:lang w:val="en-US"/>
        </w:rPr>
        <w:t>f</w:t>
      </w:r>
      <w:r w:rsidR="009319AF" w:rsidRPr="00B4523E">
        <w:rPr>
          <w:rFonts w:ascii="Book Antiqua" w:hAnsi="Book Antiqua" w:cs="Times New Roman"/>
          <w:sz w:val="24"/>
          <w:szCs w:val="24"/>
          <w:lang w:val="en-US"/>
        </w:rPr>
        <w:t>inancial and humanitarian</w:t>
      </w:r>
      <w:r w:rsidR="004F6814">
        <w:rPr>
          <w:rFonts w:ascii="Book Antiqua" w:hAnsi="Book Antiqua" w:cs="Times New Roman"/>
          <w:sz w:val="24"/>
          <w:szCs w:val="24"/>
          <w:lang w:val="en-US"/>
        </w:rPr>
        <w:t xml:space="preserve"> assistance</w:t>
      </w:r>
    </w:p>
    <w:p w14:paraId="178A3200" w14:textId="3C580273" w:rsidR="007E1300" w:rsidRDefault="00C4368C" w:rsidP="00A42FD6">
      <w:pPr>
        <w:spacing w:line="360" w:lineRule="auto"/>
        <w:jc w:val="both"/>
        <w:rPr>
          <w:rFonts w:ascii="Book Antiqua" w:hAnsi="Book Antiqua" w:cs="Times New Roman"/>
          <w:sz w:val="24"/>
          <w:szCs w:val="24"/>
          <w:lang w:val="en-US"/>
        </w:rPr>
      </w:pPr>
      <w:r w:rsidRPr="00B4523E">
        <w:rPr>
          <w:rFonts w:ascii="Book Antiqua" w:hAnsi="Book Antiqua" w:cs="Times New Roman"/>
          <w:sz w:val="24"/>
          <w:szCs w:val="24"/>
          <w:lang w:val="en-US"/>
        </w:rPr>
        <w:lastRenderedPageBreak/>
        <w:t xml:space="preserve">The Bahamas has made </w:t>
      </w:r>
      <w:r w:rsidR="002F09D6">
        <w:rPr>
          <w:rFonts w:ascii="Book Antiqua" w:hAnsi="Book Antiqua" w:cs="Times New Roman"/>
          <w:sz w:val="24"/>
          <w:szCs w:val="24"/>
          <w:lang w:val="en-US"/>
        </w:rPr>
        <w:t>particular</w:t>
      </w:r>
      <w:r w:rsidR="00A42144">
        <w:rPr>
          <w:rFonts w:ascii="Book Antiqua" w:hAnsi="Book Antiqua" w:cs="Times New Roman"/>
          <w:sz w:val="24"/>
          <w:szCs w:val="24"/>
          <w:lang w:val="en-US"/>
        </w:rPr>
        <w:t xml:space="preserve"> </w:t>
      </w:r>
      <w:r w:rsidR="00522BAE">
        <w:rPr>
          <w:rFonts w:ascii="Book Antiqua" w:hAnsi="Book Antiqua" w:cs="Times New Roman"/>
          <w:sz w:val="24"/>
          <w:szCs w:val="24"/>
          <w:lang w:val="en-US"/>
        </w:rPr>
        <w:t xml:space="preserve">recent </w:t>
      </w:r>
      <w:r w:rsidRPr="00B4523E">
        <w:rPr>
          <w:rFonts w:ascii="Book Antiqua" w:hAnsi="Book Antiqua" w:cs="Times New Roman"/>
          <w:sz w:val="24"/>
          <w:szCs w:val="24"/>
          <w:lang w:val="en-US"/>
        </w:rPr>
        <w:t>progress in the second and third areas</w:t>
      </w:r>
      <w:r w:rsidR="00F93A3A">
        <w:rPr>
          <w:rFonts w:ascii="Book Antiqua" w:hAnsi="Book Antiqua" w:cs="Times New Roman"/>
          <w:sz w:val="24"/>
          <w:szCs w:val="24"/>
          <w:lang w:val="en-US"/>
        </w:rPr>
        <w:t xml:space="preserve">, </w:t>
      </w:r>
      <w:r w:rsidR="00522BAE">
        <w:rPr>
          <w:rFonts w:ascii="Book Antiqua" w:hAnsi="Book Antiqua" w:cs="Times New Roman"/>
          <w:sz w:val="24"/>
          <w:szCs w:val="24"/>
          <w:lang w:val="en-US"/>
        </w:rPr>
        <w:t xml:space="preserve">with access to </w:t>
      </w:r>
      <w:r w:rsidR="00762D2E" w:rsidRPr="00B4523E">
        <w:rPr>
          <w:rFonts w:ascii="Book Antiqua" w:hAnsi="Book Antiqua" w:cs="Times New Roman"/>
          <w:sz w:val="24"/>
          <w:szCs w:val="24"/>
          <w:lang w:val="en-US"/>
        </w:rPr>
        <w:t>the Caribbean Catastrophe Risk Insurance Facility (CCRIF)</w:t>
      </w:r>
      <w:r w:rsidR="002F09D6">
        <w:rPr>
          <w:rFonts w:ascii="Book Antiqua" w:hAnsi="Book Antiqua" w:cs="Times New Roman"/>
          <w:sz w:val="24"/>
          <w:szCs w:val="24"/>
          <w:lang w:val="en-US"/>
        </w:rPr>
        <w:t xml:space="preserve"> </w:t>
      </w:r>
      <w:r w:rsidR="00522BAE">
        <w:rPr>
          <w:rFonts w:ascii="Book Antiqua" w:hAnsi="Book Antiqua" w:cs="Times New Roman"/>
          <w:sz w:val="24"/>
          <w:szCs w:val="24"/>
          <w:lang w:val="en-US"/>
        </w:rPr>
        <w:t xml:space="preserve">and through a </w:t>
      </w:r>
      <w:r w:rsidR="00664504" w:rsidRPr="00B4523E">
        <w:rPr>
          <w:rFonts w:ascii="Book Antiqua" w:hAnsi="Book Antiqua" w:cs="Times New Roman"/>
          <w:sz w:val="24"/>
          <w:szCs w:val="24"/>
          <w:lang w:val="en-US"/>
        </w:rPr>
        <w:t>pre-arranged line of credit with the Inter-American Development Bank (IDB)</w:t>
      </w:r>
      <w:r w:rsidR="00522BAE">
        <w:rPr>
          <w:rFonts w:ascii="Book Antiqua" w:hAnsi="Book Antiqua" w:cs="Times New Roman"/>
          <w:sz w:val="24"/>
          <w:szCs w:val="24"/>
          <w:lang w:val="en-US"/>
        </w:rPr>
        <w:t>.</w:t>
      </w:r>
      <w:r w:rsidR="00522BAE">
        <w:rPr>
          <w:rStyle w:val="FootnoteReference"/>
          <w:rFonts w:ascii="Book Antiqua" w:hAnsi="Book Antiqua" w:cs="Times New Roman"/>
          <w:sz w:val="24"/>
          <w:szCs w:val="24"/>
          <w:lang w:val="en-US"/>
        </w:rPr>
        <w:footnoteReference w:id="7"/>
      </w:r>
      <w:r w:rsidR="00A42FD6">
        <w:rPr>
          <w:rFonts w:ascii="Book Antiqua" w:hAnsi="Book Antiqua" w:cs="Times New Roman"/>
          <w:sz w:val="24"/>
          <w:szCs w:val="24"/>
          <w:lang w:val="en-US"/>
        </w:rPr>
        <w:t xml:space="preserve">  S</w:t>
      </w:r>
      <w:r w:rsidR="001D00DA" w:rsidRPr="00B4523E">
        <w:rPr>
          <w:rFonts w:ascii="Book Antiqua" w:hAnsi="Book Antiqua" w:cs="Times New Roman"/>
          <w:sz w:val="24"/>
          <w:szCs w:val="24"/>
          <w:lang w:val="en-US"/>
        </w:rPr>
        <w:t>elf-</w:t>
      </w:r>
      <w:r w:rsidR="00A42FD6">
        <w:rPr>
          <w:rFonts w:ascii="Book Antiqua" w:hAnsi="Book Antiqua" w:cs="Times New Roman"/>
          <w:sz w:val="24"/>
          <w:szCs w:val="24"/>
          <w:lang w:val="en-US"/>
        </w:rPr>
        <w:t>insurance will likely have a greater impact</w:t>
      </w:r>
      <w:r w:rsidR="00A42144">
        <w:rPr>
          <w:rFonts w:ascii="Book Antiqua" w:hAnsi="Book Antiqua" w:cs="Times New Roman"/>
          <w:sz w:val="24"/>
          <w:szCs w:val="24"/>
          <w:lang w:val="en-US"/>
        </w:rPr>
        <w:t xml:space="preserve"> on</w:t>
      </w:r>
      <w:r w:rsidR="00A42FD6">
        <w:rPr>
          <w:rFonts w:ascii="Book Antiqua" w:hAnsi="Book Antiqua" w:cs="Times New Roman"/>
          <w:sz w:val="24"/>
          <w:szCs w:val="24"/>
          <w:lang w:val="en-US"/>
        </w:rPr>
        <w:t xml:space="preserve"> resilience over the longer-term, as evidence</w:t>
      </w:r>
      <w:r w:rsidR="00A25D61">
        <w:rPr>
          <w:rFonts w:ascii="Book Antiqua" w:hAnsi="Book Antiqua" w:cs="Times New Roman"/>
          <w:sz w:val="24"/>
          <w:szCs w:val="24"/>
          <w:lang w:val="en-US"/>
        </w:rPr>
        <w:t>d</w:t>
      </w:r>
      <w:r w:rsidR="00A42FD6">
        <w:rPr>
          <w:rFonts w:ascii="Book Antiqua" w:hAnsi="Book Antiqua" w:cs="Times New Roman"/>
          <w:sz w:val="24"/>
          <w:szCs w:val="24"/>
          <w:lang w:val="en-US"/>
        </w:rPr>
        <w:t xml:space="preserve"> by </w:t>
      </w:r>
      <w:r w:rsidR="00A42144">
        <w:rPr>
          <w:rFonts w:ascii="Book Antiqua" w:hAnsi="Book Antiqua" w:cs="Times New Roman"/>
          <w:sz w:val="24"/>
          <w:szCs w:val="24"/>
          <w:lang w:val="en-US"/>
        </w:rPr>
        <w:t xml:space="preserve">our </w:t>
      </w:r>
      <w:r w:rsidR="00A42FD6">
        <w:rPr>
          <w:rFonts w:ascii="Book Antiqua" w:hAnsi="Book Antiqua" w:cs="Times New Roman"/>
          <w:sz w:val="24"/>
          <w:szCs w:val="24"/>
          <w:lang w:val="en-US"/>
        </w:rPr>
        <w:t>ability to generate annual budgetary saving</w:t>
      </w:r>
      <w:r w:rsidR="00A42144">
        <w:rPr>
          <w:rFonts w:ascii="Book Antiqua" w:hAnsi="Book Antiqua" w:cs="Times New Roman"/>
          <w:sz w:val="24"/>
          <w:szCs w:val="24"/>
          <w:lang w:val="en-US"/>
        </w:rPr>
        <w:t>s</w:t>
      </w:r>
      <w:r w:rsidR="00A42FD6">
        <w:rPr>
          <w:rFonts w:ascii="Book Antiqua" w:hAnsi="Book Antiqua" w:cs="Times New Roman"/>
          <w:sz w:val="24"/>
          <w:szCs w:val="24"/>
          <w:lang w:val="en-US"/>
        </w:rPr>
        <w:t xml:space="preserve">, and </w:t>
      </w:r>
      <w:r w:rsidR="00A42144">
        <w:rPr>
          <w:rFonts w:ascii="Book Antiqua" w:hAnsi="Book Antiqua" w:cs="Times New Roman"/>
          <w:sz w:val="24"/>
          <w:szCs w:val="24"/>
          <w:lang w:val="en-US"/>
        </w:rPr>
        <w:t xml:space="preserve">to reduce the public debt burden.  This </w:t>
      </w:r>
      <w:r w:rsidR="004F6814">
        <w:rPr>
          <w:rFonts w:ascii="Book Antiqua" w:hAnsi="Book Antiqua" w:cs="Times New Roman"/>
          <w:sz w:val="24"/>
          <w:szCs w:val="24"/>
          <w:lang w:val="en-US"/>
        </w:rPr>
        <w:t xml:space="preserve">would </w:t>
      </w:r>
      <w:r w:rsidR="00A42144">
        <w:rPr>
          <w:rFonts w:ascii="Book Antiqua" w:hAnsi="Book Antiqua" w:cs="Times New Roman"/>
          <w:sz w:val="24"/>
          <w:szCs w:val="24"/>
          <w:lang w:val="en-US"/>
        </w:rPr>
        <w:t xml:space="preserve">make it possible take on </w:t>
      </w:r>
      <w:r w:rsidR="00A42FD6">
        <w:rPr>
          <w:rFonts w:ascii="Book Antiqua" w:hAnsi="Book Antiqua" w:cs="Times New Roman"/>
          <w:sz w:val="24"/>
          <w:szCs w:val="24"/>
          <w:lang w:val="en-US"/>
        </w:rPr>
        <w:t>extra debt if necessary</w:t>
      </w:r>
      <w:r w:rsidR="006937E0">
        <w:rPr>
          <w:rFonts w:ascii="Book Antiqua" w:hAnsi="Book Antiqua" w:cs="Times New Roman"/>
          <w:sz w:val="24"/>
          <w:szCs w:val="24"/>
          <w:lang w:val="en-US"/>
        </w:rPr>
        <w:t xml:space="preserve">—and </w:t>
      </w:r>
      <w:r w:rsidR="00A42FD6">
        <w:rPr>
          <w:rFonts w:ascii="Book Antiqua" w:hAnsi="Book Antiqua" w:cs="Times New Roman"/>
          <w:sz w:val="24"/>
          <w:szCs w:val="24"/>
          <w:lang w:val="en-US"/>
        </w:rPr>
        <w:t>without concern</w:t>
      </w:r>
      <w:r w:rsidR="006937E0">
        <w:rPr>
          <w:rFonts w:ascii="Book Antiqua" w:hAnsi="Book Antiqua" w:cs="Times New Roman"/>
          <w:sz w:val="24"/>
          <w:szCs w:val="24"/>
          <w:lang w:val="en-US"/>
        </w:rPr>
        <w:t>—</w:t>
      </w:r>
      <w:r w:rsidR="00A42FD6">
        <w:rPr>
          <w:rFonts w:ascii="Book Antiqua" w:hAnsi="Book Antiqua" w:cs="Times New Roman"/>
          <w:sz w:val="24"/>
          <w:szCs w:val="24"/>
          <w:lang w:val="en-US"/>
        </w:rPr>
        <w:t>after natural disaster</w:t>
      </w:r>
      <w:r w:rsidR="00A42144">
        <w:rPr>
          <w:rFonts w:ascii="Book Antiqua" w:hAnsi="Book Antiqua" w:cs="Times New Roman"/>
          <w:sz w:val="24"/>
          <w:szCs w:val="24"/>
          <w:lang w:val="en-US"/>
        </w:rPr>
        <w:t>s</w:t>
      </w:r>
      <w:r w:rsidR="00A42FD6">
        <w:rPr>
          <w:rFonts w:ascii="Book Antiqua" w:hAnsi="Book Antiqua" w:cs="Times New Roman"/>
          <w:sz w:val="24"/>
          <w:szCs w:val="24"/>
          <w:lang w:val="en-US"/>
        </w:rPr>
        <w:t>.  Fiscal savings could also purchase larger amounts of insurance in the market</w:t>
      </w:r>
      <w:r w:rsidR="006937E0">
        <w:rPr>
          <w:rFonts w:ascii="Book Antiqua" w:hAnsi="Book Antiqua" w:cs="Times New Roman"/>
          <w:sz w:val="24"/>
          <w:szCs w:val="24"/>
          <w:lang w:val="en-US"/>
        </w:rPr>
        <w:t xml:space="preserve"> </w:t>
      </w:r>
      <w:r w:rsidR="00A42FD6">
        <w:rPr>
          <w:rFonts w:ascii="Book Antiqua" w:hAnsi="Book Antiqua" w:cs="Times New Roman"/>
          <w:sz w:val="24"/>
          <w:szCs w:val="24"/>
          <w:lang w:val="en-US"/>
        </w:rPr>
        <w:t xml:space="preserve">and </w:t>
      </w:r>
      <w:r w:rsidR="00F1323E">
        <w:rPr>
          <w:rFonts w:ascii="Book Antiqua" w:hAnsi="Book Antiqua" w:cs="Times New Roman"/>
          <w:sz w:val="24"/>
          <w:szCs w:val="24"/>
          <w:lang w:val="en-US"/>
        </w:rPr>
        <w:t xml:space="preserve">finance </w:t>
      </w:r>
      <w:r w:rsidR="00A42FD6">
        <w:rPr>
          <w:rFonts w:ascii="Book Antiqua" w:hAnsi="Book Antiqua" w:cs="Times New Roman"/>
          <w:sz w:val="24"/>
          <w:szCs w:val="24"/>
          <w:lang w:val="en-US"/>
        </w:rPr>
        <w:t>larger natural disaster fund</w:t>
      </w:r>
      <w:r w:rsidR="00F1323E">
        <w:rPr>
          <w:rFonts w:ascii="Book Antiqua" w:hAnsi="Book Antiqua" w:cs="Times New Roman"/>
          <w:sz w:val="24"/>
          <w:szCs w:val="24"/>
          <w:lang w:val="en-US"/>
        </w:rPr>
        <w:t>s</w:t>
      </w:r>
      <w:r w:rsidR="00A42FD6">
        <w:rPr>
          <w:rFonts w:ascii="Book Antiqua" w:hAnsi="Book Antiqua" w:cs="Times New Roman"/>
          <w:sz w:val="24"/>
          <w:szCs w:val="24"/>
          <w:lang w:val="en-US"/>
        </w:rPr>
        <w:t xml:space="preserve">, both of which are debt avoiding strategies. </w:t>
      </w:r>
      <w:r w:rsidR="00273886">
        <w:rPr>
          <w:rFonts w:ascii="Book Antiqua" w:hAnsi="Book Antiqua" w:cs="Times New Roman"/>
          <w:sz w:val="24"/>
          <w:szCs w:val="24"/>
          <w:lang w:val="en-US"/>
        </w:rPr>
        <w:t xml:space="preserve">Further, </w:t>
      </w:r>
      <w:r w:rsidR="00A42FD6" w:rsidRPr="005C2AFD">
        <w:rPr>
          <w:rFonts w:ascii="Book Antiqua" w:hAnsi="Book Antiqua" w:cs="Times New Roman"/>
          <w:sz w:val="24"/>
          <w:szCs w:val="24"/>
          <w:lang w:val="en-US"/>
        </w:rPr>
        <w:t xml:space="preserve">buffers </w:t>
      </w:r>
      <w:r w:rsidR="00273886">
        <w:rPr>
          <w:rFonts w:ascii="Book Antiqua" w:hAnsi="Book Antiqua" w:cs="Times New Roman"/>
          <w:sz w:val="24"/>
          <w:szCs w:val="24"/>
          <w:lang w:val="en-US"/>
        </w:rPr>
        <w:t xml:space="preserve">accumulate </w:t>
      </w:r>
      <w:r w:rsidR="00A42FD6" w:rsidRPr="005C2AFD">
        <w:rPr>
          <w:rFonts w:ascii="Book Antiqua" w:hAnsi="Book Antiqua" w:cs="Times New Roman"/>
          <w:sz w:val="24"/>
          <w:szCs w:val="24"/>
          <w:lang w:val="en-US"/>
        </w:rPr>
        <w:t>in terms of how infrastructure is rebuilt and in some case</w:t>
      </w:r>
      <w:r w:rsidR="00F1323E" w:rsidRPr="005C2AFD">
        <w:rPr>
          <w:rFonts w:ascii="Book Antiqua" w:hAnsi="Book Antiqua" w:cs="Times New Roman"/>
          <w:sz w:val="24"/>
          <w:szCs w:val="24"/>
          <w:lang w:val="en-US"/>
        </w:rPr>
        <w:t>s</w:t>
      </w:r>
      <w:r w:rsidR="00A42FD6" w:rsidRPr="005C2AFD">
        <w:rPr>
          <w:rFonts w:ascii="Book Antiqua" w:hAnsi="Book Antiqua" w:cs="Times New Roman"/>
          <w:sz w:val="24"/>
          <w:szCs w:val="24"/>
          <w:lang w:val="en-US"/>
        </w:rPr>
        <w:t xml:space="preserve"> relocated, at greater upfront cost, to resist extensive </w:t>
      </w:r>
      <w:r w:rsidR="00F1323E" w:rsidRPr="005C2AFD">
        <w:rPr>
          <w:rFonts w:ascii="Book Antiqua" w:hAnsi="Book Antiqua" w:cs="Times New Roman"/>
          <w:sz w:val="24"/>
          <w:szCs w:val="24"/>
          <w:lang w:val="en-US"/>
        </w:rPr>
        <w:t xml:space="preserve">future </w:t>
      </w:r>
      <w:r w:rsidR="00A42FD6" w:rsidRPr="005C2AFD">
        <w:rPr>
          <w:rFonts w:ascii="Book Antiqua" w:hAnsi="Book Antiqua" w:cs="Times New Roman"/>
          <w:sz w:val="24"/>
          <w:szCs w:val="24"/>
          <w:lang w:val="en-US"/>
        </w:rPr>
        <w:t xml:space="preserve">damages from major </w:t>
      </w:r>
      <w:r w:rsidR="002F09D6" w:rsidRPr="005C2AFD">
        <w:rPr>
          <w:rFonts w:ascii="Book Antiqua" w:hAnsi="Book Antiqua" w:cs="Times New Roman"/>
          <w:sz w:val="24"/>
          <w:szCs w:val="24"/>
          <w:lang w:val="en-US"/>
        </w:rPr>
        <w:t>hurricanes and sea level rise</w:t>
      </w:r>
      <w:r w:rsidR="005A236E" w:rsidRPr="005C2AFD">
        <w:rPr>
          <w:rFonts w:ascii="Book Antiqua" w:hAnsi="Book Antiqua" w:cs="Times New Roman"/>
          <w:sz w:val="24"/>
          <w:szCs w:val="24"/>
          <w:lang w:val="en-US"/>
        </w:rPr>
        <w:t>.</w:t>
      </w:r>
      <w:r w:rsidR="005A236E" w:rsidRPr="005C2AFD">
        <w:rPr>
          <w:rStyle w:val="FootnoteReference"/>
          <w:rFonts w:ascii="Book Antiqua" w:hAnsi="Book Antiqua" w:cs="Times New Roman"/>
          <w:sz w:val="24"/>
          <w:szCs w:val="24"/>
          <w:lang w:val="en-US"/>
        </w:rPr>
        <w:footnoteReference w:id="8"/>
      </w:r>
      <w:r w:rsidR="002F09D6" w:rsidRPr="005C2AFD">
        <w:rPr>
          <w:rFonts w:ascii="Book Antiqua" w:hAnsi="Book Antiqua" w:cs="Times New Roman"/>
          <w:sz w:val="24"/>
          <w:szCs w:val="24"/>
          <w:vertAlign w:val="superscript"/>
          <w:lang w:val="en-US"/>
        </w:rPr>
        <w:t>,</w:t>
      </w:r>
      <w:r w:rsidR="00E378A1" w:rsidRPr="005C2AFD">
        <w:rPr>
          <w:rStyle w:val="FootnoteReference"/>
          <w:rFonts w:ascii="Book Antiqua" w:hAnsi="Book Antiqua" w:cs="Times New Roman"/>
          <w:sz w:val="24"/>
          <w:szCs w:val="24"/>
          <w:lang w:val="en-US"/>
        </w:rPr>
        <w:footnoteReference w:id="9"/>
      </w:r>
      <w:r w:rsidR="002F09D6">
        <w:rPr>
          <w:rFonts w:ascii="Book Antiqua" w:hAnsi="Book Antiqua" w:cs="Times New Roman"/>
          <w:sz w:val="24"/>
          <w:szCs w:val="24"/>
          <w:lang w:val="en-US"/>
        </w:rPr>
        <w:t xml:space="preserve"> </w:t>
      </w:r>
    </w:p>
    <w:p w14:paraId="404AE81A" w14:textId="50259FCD" w:rsidR="006E7B82" w:rsidRPr="005F5210" w:rsidRDefault="006E7B82" w:rsidP="000F331F">
      <w:pPr>
        <w:pStyle w:val="Heading2"/>
      </w:pPr>
      <w:r w:rsidRPr="005F5210">
        <w:t>Financial Resilience for Private Sector/</w:t>
      </w:r>
      <w:r w:rsidR="00E70F7D" w:rsidRPr="005F5210">
        <w:t>Household</w:t>
      </w:r>
      <w:r w:rsidRPr="005F5210">
        <w:t>s</w:t>
      </w:r>
    </w:p>
    <w:p w14:paraId="1806242B" w14:textId="2E6F19D5" w:rsidR="002F09D6" w:rsidRDefault="006E7B82" w:rsidP="00B4523E">
      <w:pPr>
        <w:spacing w:line="360" w:lineRule="auto"/>
        <w:jc w:val="both"/>
        <w:rPr>
          <w:rFonts w:ascii="Book Antiqua" w:hAnsi="Book Antiqua" w:cs="Times New Roman"/>
          <w:sz w:val="24"/>
          <w:szCs w:val="24"/>
          <w:lang w:val="en-US"/>
        </w:rPr>
      </w:pPr>
      <w:r w:rsidRPr="00263791">
        <w:rPr>
          <w:rFonts w:ascii="Book Antiqua" w:hAnsi="Book Antiqua" w:cs="Times New Roman"/>
          <w:sz w:val="24"/>
          <w:szCs w:val="24"/>
          <w:lang w:val="en-US"/>
        </w:rPr>
        <w:t xml:space="preserve">Another major consideration for the post-disaster phase is </w:t>
      </w:r>
      <w:r w:rsidR="00517E0B" w:rsidRPr="00263791">
        <w:rPr>
          <w:rFonts w:ascii="Book Antiqua" w:hAnsi="Book Antiqua" w:cs="Times New Roman"/>
          <w:sz w:val="24"/>
          <w:szCs w:val="24"/>
          <w:lang w:val="en-US"/>
        </w:rPr>
        <w:t xml:space="preserve">the exposure of private sector agents (households and businesses) to losses.  In particular, </w:t>
      </w:r>
      <w:r w:rsidR="008317F4" w:rsidRPr="00263791">
        <w:rPr>
          <w:rFonts w:ascii="Book Antiqua" w:hAnsi="Book Antiqua" w:cs="Times New Roman"/>
          <w:sz w:val="24"/>
          <w:szCs w:val="24"/>
          <w:lang w:val="en-US"/>
        </w:rPr>
        <w:t xml:space="preserve">a significant number of uninsured or under-insured homes </w:t>
      </w:r>
      <w:r w:rsidR="00C776A3" w:rsidRPr="00263791">
        <w:rPr>
          <w:rFonts w:ascii="Book Antiqua" w:hAnsi="Book Antiqua" w:cs="Times New Roman"/>
          <w:sz w:val="24"/>
          <w:szCs w:val="24"/>
          <w:lang w:val="en-US"/>
        </w:rPr>
        <w:t xml:space="preserve">exist in the damaged zones, </w:t>
      </w:r>
      <w:r w:rsidR="002F09D6">
        <w:rPr>
          <w:rFonts w:ascii="Book Antiqua" w:hAnsi="Book Antiqua" w:cs="Times New Roman"/>
          <w:sz w:val="24"/>
          <w:szCs w:val="24"/>
          <w:lang w:val="en-US"/>
        </w:rPr>
        <w:t>which is a snapshot of</w:t>
      </w:r>
      <w:r w:rsidR="00C776A3" w:rsidRPr="00263791">
        <w:rPr>
          <w:rFonts w:ascii="Book Antiqua" w:hAnsi="Book Antiqua" w:cs="Times New Roman"/>
          <w:sz w:val="24"/>
          <w:szCs w:val="24"/>
          <w:lang w:val="en-US"/>
        </w:rPr>
        <w:t xml:space="preserve"> a </w:t>
      </w:r>
      <w:r w:rsidR="002F09D6">
        <w:rPr>
          <w:rFonts w:ascii="Book Antiqua" w:hAnsi="Book Antiqua" w:cs="Times New Roman"/>
          <w:sz w:val="24"/>
          <w:szCs w:val="24"/>
          <w:lang w:val="en-US"/>
        </w:rPr>
        <w:t xml:space="preserve">greater </w:t>
      </w:r>
      <w:r w:rsidR="00C776A3" w:rsidRPr="00263791">
        <w:rPr>
          <w:rFonts w:ascii="Book Antiqua" w:hAnsi="Book Antiqua" w:cs="Times New Roman"/>
          <w:sz w:val="24"/>
          <w:szCs w:val="24"/>
          <w:lang w:val="en-US"/>
        </w:rPr>
        <w:t xml:space="preserve">national prevalence </w:t>
      </w:r>
      <w:r w:rsidR="002509DA">
        <w:rPr>
          <w:rFonts w:ascii="Book Antiqua" w:hAnsi="Book Antiqua" w:cs="Times New Roman"/>
          <w:sz w:val="24"/>
          <w:szCs w:val="24"/>
          <w:lang w:val="en-US"/>
        </w:rPr>
        <w:t>of the same</w:t>
      </w:r>
      <w:r w:rsidR="00A000A1">
        <w:rPr>
          <w:rFonts w:ascii="Book Antiqua" w:hAnsi="Book Antiqua" w:cs="Times New Roman"/>
          <w:sz w:val="24"/>
          <w:szCs w:val="24"/>
          <w:lang w:val="en-US"/>
        </w:rPr>
        <w:t xml:space="preserve">, </w:t>
      </w:r>
      <w:r w:rsidR="008317F4" w:rsidRPr="00263791">
        <w:rPr>
          <w:rFonts w:ascii="Book Antiqua" w:hAnsi="Book Antiqua" w:cs="Times New Roman"/>
          <w:sz w:val="24"/>
          <w:szCs w:val="24"/>
          <w:lang w:val="en-US"/>
        </w:rPr>
        <w:t xml:space="preserve">particularly among lower income homeowners who find it financially challenging to </w:t>
      </w:r>
      <w:r w:rsidR="002F09D6">
        <w:rPr>
          <w:rFonts w:ascii="Book Antiqua" w:hAnsi="Book Antiqua" w:cs="Times New Roman"/>
          <w:sz w:val="24"/>
          <w:szCs w:val="24"/>
          <w:lang w:val="en-US"/>
        </w:rPr>
        <w:t>purchase</w:t>
      </w:r>
      <w:r w:rsidR="008317F4" w:rsidRPr="00263791">
        <w:rPr>
          <w:rFonts w:ascii="Book Antiqua" w:hAnsi="Book Antiqua" w:cs="Times New Roman"/>
          <w:sz w:val="24"/>
          <w:szCs w:val="24"/>
          <w:lang w:val="en-US"/>
        </w:rPr>
        <w:t xml:space="preserve"> insurance coverage</w:t>
      </w:r>
      <w:r w:rsidR="00A000A1">
        <w:rPr>
          <w:rFonts w:ascii="Book Antiqua" w:hAnsi="Book Antiqua" w:cs="Times New Roman"/>
          <w:sz w:val="24"/>
          <w:szCs w:val="24"/>
          <w:lang w:val="en-US"/>
        </w:rPr>
        <w:t>.</w:t>
      </w:r>
      <w:r w:rsidR="00C776A3" w:rsidRPr="00263791">
        <w:rPr>
          <w:rFonts w:ascii="Book Antiqua" w:hAnsi="Book Antiqua" w:cs="Times New Roman"/>
          <w:sz w:val="24"/>
          <w:szCs w:val="24"/>
          <w:lang w:val="en-US"/>
        </w:rPr>
        <w:t xml:space="preserve">  </w:t>
      </w:r>
    </w:p>
    <w:p w14:paraId="090CEE7B" w14:textId="4617D19B" w:rsidR="006E7B82" w:rsidRPr="00263791" w:rsidRDefault="002F09D6" w:rsidP="00B4523E">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 xml:space="preserve">This presents </w:t>
      </w:r>
      <w:r w:rsidR="00C776A3" w:rsidRPr="00263791">
        <w:rPr>
          <w:rFonts w:ascii="Book Antiqua" w:hAnsi="Book Antiqua" w:cs="Times New Roman"/>
          <w:sz w:val="24"/>
          <w:szCs w:val="24"/>
          <w:lang w:val="en-US"/>
        </w:rPr>
        <w:t xml:space="preserve">a significant financial risk to the </w:t>
      </w:r>
      <w:r w:rsidR="005F5210" w:rsidRPr="00263791">
        <w:rPr>
          <w:rFonts w:ascii="Book Antiqua" w:hAnsi="Book Antiqua" w:cs="Times New Roman"/>
          <w:sz w:val="24"/>
          <w:szCs w:val="24"/>
          <w:lang w:val="en-US"/>
        </w:rPr>
        <w:t>Government</w:t>
      </w:r>
      <w:r>
        <w:rPr>
          <w:rFonts w:ascii="Book Antiqua" w:hAnsi="Book Antiqua" w:cs="Times New Roman"/>
          <w:sz w:val="24"/>
          <w:szCs w:val="24"/>
          <w:lang w:val="en-US"/>
        </w:rPr>
        <w:t>!</w:t>
      </w:r>
      <w:r w:rsidR="00C776A3" w:rsidRPr="00263791">
        <w:rPr>
          <w:rFonts w:ascii="Book Antiqua" w:hAnsi="Book Antiqua" w:cs="Times New Roman"/>
          <w:sz w:val="24"/>
          <w:szCs w:val="24"/>
          <w:lang w:val="en-US"/>
        </w:rPr>
        <w:t xml:space="preserve"> </w:t>
      </w:r>
      <w:r w:rsidR="00D715BD">
        <w:rPr>
          <w:rFonts w:ascii="Book Antiqua" w:hAnsi="Book Antiqua" w:cs="Times New Roman"/>
          <w:sz w:val="24"/>
          <w:szCs w:val="24"/>
          <w:lang w:val="en-US"/>
        </w:rPr>
        <w:t xml:space="preserve"> </w:t>
      </w:r>
      <w:r>
        <w:rPr>
          <w:rFonts w:ascii="Book Antiqua" w:hAnsi="Book Antiqua" w:cs="Times New Roman"/>
          <w:sz w:val="24"/>
          <w:szCs w:val="24"/>
          <w:lang w:val="en-US"/>
        </w:rPr>
        <w:t>F</w:t>
      </w:r>
      <w:r w:rsidR="00C776A3" w:rsidRPr="00263791">
        <w:rPr>
          <w:rFonts w:ascii="Book Antiqua" w:hAnsi="Book Antiqua" w:cs="Times New Roman"/>
          <w:sz w:val="24"/>
          <w:szCs w:val="24"/>
          <w:lang w:val="en-US"/>
        </w:rPr>
        <w:t>iscal costs mount when these exposed interest</w:t>
      </w:r>
      <w:r w:rsidR="008524EA">
        <w:rPr>
          <w:rFonts w:ascii="Book Antiqua" w:hAnsi="Book Antiqua" w:cs="Times New Roman"/>
          <w:sz w:val="24"/>
          <w:szCs w:val="24"/>
          <w:lang w:val="en-US"/>
        </w:rPr>
        <w:t>s</w:t>
      </w:r>
      <w:r w:rsidR="00C776A3" w:rsidRPr="00263791">
        <w:rPr>
          <w:rFonts w:ascii="Book Antiqua" w:hAnsi="Book Antiqua" w:cs="Times New Roman"/>
          <w:sz w:val="24"/>
          <w:szCs w:val="24"/>
          <w:lang w:val="en-US"/>
        </w:rPr>
        <w:t xml:space="preserve"> require some subsidized level of recovery.  For inadequately insure</w:t>
      </w:r>
      <w:r w:rsidR="008524EA">
        <w:rPr>
          <w:rFonts w:ascii="Book Antiqua" w:hAnsi="Book Antiqua" w:cs="Times New Roman"/>
          <w:sz w:val="24"/>
          <w:szCs w:val="24"/>
          <w:lang w:val="en-US"/>
        </w:rPr>
        <w:t>d</w:t>
      </w:r>
      <w:r w:rsidR="00C776A3" w:rsidRPr="00263791">
        <w:rPr>
          <w:rFonts w:ascii="Book Antiqua" w:hAnsi="Book Antiqua" w:cs="Times New Roman"/>
          <w:sz w:val="24"/>
          <w:szCs w:val="24"/>
          <w:lang w:val="en-US"/>
        </w:rPr>
        <w:t xml:space="preserve"> middle and upper</w:t>
      </w:r>
      <w:r w:rsidR="00195BDA">
        <w:rPr>
          <w:rFonts w:ascii="Book Antiqua" w:hAnsi="Book Antiqua" w:cs="Times New Roman"/>
          <w:sz w:val="24"/>
          <w:szCs w:val="24"/>
          <w:lang w:val="en-US"/>
        </w:rPr>
        <w:t xml:space="preserve"> middle-</w:t>
      </w:r>
      <w:r w:rsidR="00C776A3" w:rsidRPr="00263791">
        <w:rPr>
          <w:rFonts w:ascii="Book Antiqua" w:hAnsi="Book Antiqua" w:cs="Times New Roman"/>
          <w:sz w:val="24"/>
          <w:szCs w:val="24"/>
          <w:lang w:val="en-US"/>
        </w:rPr>
        <w:t>income families, or small business</w:t>
      </w:r>
      <w:r w:rsidR="008524EA">
        <w:rPr>
          <w:rFonts w:ascii="Book Antiqua" w:hAnsi="Book Antiqua" w:cs="Times New Roman"/>
          <w:sz w:val="24"/>
          <w:szCs w:val="24"/>
          <w:lang w:val="en-US"/>
        </w:rPr>
        <w:t>es</w:t>
      </w:r>
      <w:r w:rsidR="00C776A3" w:rsidRPr="00263791">
        <w:rPr>
          <w:rFonts w:ascii="Book Antiqua" w:hAnsi="Book Antiqua" w:cs="Times New Roman"/>
          <w:sz w:val="24"/>
          <w:szCs w:val="24"/>
          <w:lang w:val="en-US"/>
        </w:rPr>
        <w:t>, pub</w:t>
      </w:r>
      <w:r w:rsidR="008524EA">
        <w:rPr>
          <w:rFonts w:ascii="Book Antiqua" w:hAnsi="Book Antiqua" w:cs="Times New Roman"/>
          <w:sz w:val="24"/>
          <w:szCs w:val="24"/>
          <w:lang w:val="en-US"/>
        </w:rPr>
        <w:t>l</w:t>
      </w:r>
      <w:r w:rsidR="00C776A3" w:rsidRPr="00263791">
        <w:rPr>
          <w:rFonts w:ascii="Book Antiqua" w:hAnsi="Book Antiqua" w:cs="Times New Roman"/>
          <w:sz w:val="24"/>
          <w:szCs w:val="24"/>
          <w:lang w:val="en-US"/>
        </w:rPr>
        <w:t xml:space="preserve">ic subsides are not likely to </w:t>
      </w:r>
      <w:r w:rsidR="009F65DA">
        <w:rPr>
          <w:rFonts w:ascii="Book Antiqua" w:hAnsi="Book Antiqua" w:cs="Times New Roman"/>
          <w:sz w:val="24"/>
          <w:szCs w:val="24"/>
          <w:lang w:val="en-US"/>
        </w:rPr>
        <w:t>provide</w:t>
      </w:r>
      <w:r w:rsidR="00C776A3" w:rsidRPr="00263791">
        <w:rPr>
          <w:rFonts w:ascii="Book Antiqua" w:hAnsi="Book Antiqua" w:cs="Times New Roman"/>
          <w:sz w:val="24"/>
          <w:szCs w:val="24"/>
          <w:lang w:val="en-US"/>
        </w:rPr>
        <w:t xml:space="preserve"> either timely </w:t>
      </w:r>
      <w:r w:rsidR="009F65DA">
        <w:rPr>
          <w:rFonts w:ascii="Book Antiqua" w:hAnsi="Book Antiqua" w:cs="Times New Roman"/>
          <w:sz w:val="24"/>
          <w:szCs w:val="24"/>
          <w:lang w:val="en-US"/>
        </w:rPr>
        <w:t xml:space="preserve">or </w:t>
      </w:r>
      <w:r w:rsidR="00C776A3" w:rsidRPr="00263791">
        <w:rPr>
          <w:rFonts w:ascii="Book Antiqua" w:hAnsi="Book Antiqua" w:cs="Times New Roman"/>
          <w:sz w:val="24"/>
          <w:szCs w:val="24"/>
          <w:lang w:val="en-US"/>
        </w:rPr>
        <w:t xml:space="preserve">full restoration of their </w:t>
      </w:r>
      <w:r w:rsidR="008524EA">
        <w:rPr>
          <w:rFonts w:ascii="Book Antiqua" w:hAnsi="Book Antiqua" w:cs="Times New Roman"/>
          <w:sz w:val="24"/>
          <w:szCs w:val="24"/>
          <w:lang w:val="en-US"/>
        </w:rPr>
        <w:t xml:space="preserve">former </w:t>
      </w:r>
      <w:r w:rsidR="00C776A3" w:rsidRPr="00263791">
        <w:rPr>
          <w:rFonts w:ascii="Book Antiqua" w:hAnsi="Book Antiqua" w:cs="Times New Roman"/>
          <w:sz w:val="24"/>
          <w:szCs w:val="24"/>
          <w:lang w:val="en-US"/>
        </w:rPr>
        <w:t xml:space="preserve">circumstances; and some losses may become permanent.  This is a vulnerably that </w:t>
      </w:r>
      <w:r w:rsidR="00026B6E">
        <w:rPr>
          <w:rFonts w:ascii="Book Antiqua" w:hAnsi="Book Antiqua" w:cs="Times New Roman"/>
          <w:sz w:val="24"/>
          <w:szCs w:val="24"/>
          <w:lang w:val="en-US"/>
        </w:rPr>
        <w:t xml:space="preserve">still </w:t>
      </w:r>
      <w:r w:rsidR="00C776A3" w:rsidRPr="00263791">
        <w:rPr>
          <w:rFonts w:ascii="Book Antiqua" w:hAnsi="Book Antiqua" w:cs="Times New Roman"/>
          <w:sz w:val="24"/>
          <w:szCs w:val="24"/>
          <w:lang w:val="en-US"/>
        </w:rPr>
        <w:t xml:space="preserve">has to be meaningfully addressed, </w:t>
      </w:r>
      <w:r w:rsidR="009D42A2">
        <w:rPr>
          <w:rFonts w:ascii="Book Antiqua" w:hAnsi="Book Antiqua" w:cs="Times New Roman"/>
          <w:sz w:val="24"/>
          <w:szCs w:val="24"/>
          <w:lang w:val="en-US"/>
        </w:rPr>
        <w:t xml:space="preserve">through </w:t>
      </w:r>
      <w:r w:rsidR="00C776A3" w:rsidRPr="00263791">
        <w:rPr>
          <w:rFonts w:ascii="Book Antiqua" w:hAnsi="Book Antiqua" w:cs="Times New Roman"/>
          <w:sz w:val="24"/>
          <w:szCs w:val="24"/>
          <w:lang w:val="en-US"/>
        </w:rPr>
        <w:t>households and business</w:t>
      </w:r>
      <w:r w:rsidR="00632FD8">
        <w:rPr>
          <w:rFonts w:ascii="Book Antiqua" w:hAnsi="Book Antiqua" w:cs="Times New Roman"/>
          <w:sz w:val="24"/>
          <w:szCs w:val="24"/>
          <w:lang w:val="en-US"/>
        </w:rPr>
        <w:t>es</w:t>
      </w:r>
      <w:r w:rsidR="00C776A3" w:rsidRPr="00263791">
        <w:rPr>
          <w:rFonts w:ascii="Book Antiqua" w:hAnsi="Book Antiqua" w:cs="Times New Roman"/>
          <w:sz w:val="24"/>
          <w:szCs w:val="24"/>
          <w:lang w:val="en-US"/>
        </w:rPr>
        <w:t xml:space="preserve"> taking </w:t>
      </w:r>
      <w:r w:rsidR="009D42A2">
        <w:rPr>
          <w:rFonts w:ascii="Book Antiqua" w:hAnsi="Book Antiqua" w:cs="Times New Roman"/>
          <w:sz w:val="24"/>
          <w:szCs w:val="24"/>
          <w:lang w:val="en-US"/>
        </w:rPr>
        <w:t xml:space="preserve">on </w:t>
      </w:r>
      <w:r w:rsidR="00C776A3" w:rsidRPr="00263791">
        <w:rPr>
          <w:rFonts w:ascii="Book Antiqua" w:hAnsi="Book Antiqua" w:cs="Times New Roman"/>
          <w:sz w:val="24"/>
          <w:szCs w:val="24"/>
          <w:lang w:val="en-US"/>
        </w:rPr>
        <w:t xml:space="preserve">more </w:t>
      </w:r>
      <w:r w:rsidR="00C776A3" w:rsidRPr="00263791">
        <w:rPr>
          <w:rFonts w:ascii="Book Antiqua" w:hAnsi="Book Antiqua" w:cs="Times New Roman"/>
          <w:sz w:val="24"/>
          <w:szCs w:val="24"/>
          <w:lang w:val="en-US"/>
        </w:rPr>
        <w:lastRenderedPageBreak/>
        <w:t>active responsibility</w:t>
      </w:r>
      <w:r w:rsidR="00D8235C">
        <w:rPr>
          <w:rFonts w:ascii="Book Antiqua" w:hAnsi="Book Antiqua" w:cs="Times New Roman"/>
          <w:sz w:val="24"/>
          <w:szCs w:val="24"/>
          <w:lang w:val="en-US"/>
        </w:rPr>
        <w:t xml:space="preserve"> for it</w:t>
      </w:r>
      <w:r w:rsidR="00C776A3" w:rsidRPr="00263791">
        <w:rPr>
          <w:rFonts w:ascii="Book Antiqua" w:hAnsi="Book Antiqua" w:cs="Times New Roman"/>
          <w:sz w:val="24"/>
          <w:szCs w:val="24"/>
          <w:lang w:val="en-US"/>
        </w:rPr>
        <w:t xml:space="preserve">, and </w:t>
      </w:r>
      <w:r w:rsidR="00777B7B">
        <w:rPr>
          <w:rFonts w:ascii="Book Antiqua" w:hAnsi="Book Antiqua" w:cs="Times New Roman"/>
          <w:sz w:val="24"/>
          <w:szCs w:val="24"/>
          <w:lang w:val="en-US"/>
        </w:rPr>
        <w:t>through</w:t>
      </w:r>
      <w:r w:rsidR="008524EA">
        <w:rPr>
          <w:rFonts w:ascii="Book Antiqua" w:hAnsi="Book Antiqua" w:cs="Times New Roman"/>
          <w:sz w:val="24"/>
          <w:szCs w:val="24"/>
          <w:lang w:val="en-US"/>
        </w:rPr>
        <w:t xml:space="preserve"> intentional</w:t>
      </w:r>
      <w:r w:rsidR="00C776A3" w:rsidRPr="00263791">
        <w:rPr>
          <w:rFonts w:ascii="Book Antiqua" w:hAnsi="Book Antiqua" w:cs="Times New Roman"/>
          <w:sz w:val="24"/>
          <w:szCs w:val="24"/>
          <w:lang w:val="en-US"/>
        </w:rPr>
        <w:t xml:space="preserve"> public policy to reduce the financial risk to </w:t>
      </w:r>
      <w:r w:rsidR="00777B7B">
        <w:rPr>
          <w:rFonts w:ascii="Book Antiqua" w:hAnsi="Book Antiqua" w:cs="Times New Roman"/>
          <w:sz w:val="24"/>
          <w:szCs w:val="24"/>
          <w:lang w:val="en-US"/>
        </w:rPr>
        <w:t xml:space="preserve">the </w:t>
      </w:r>
      <w:r w:rsidR="00BB306E">
        <w:rPr>
          <w:rFonts w:ascii="Book Antiqua" w:hAnsi="Book Antiqua" w:cs="Times New Roman"/>
          <w:sz w:val="24"/>
          <w:szCs w:val="24"/>
          <w:lang w:val="en-US"/>
        </w:rPr>
        <w:t>g</w:t>
      </w:r>
      <w:r w:rsidR="00C776A3" w:rsidRPr="00263791">
        <w:rPr>
          <w:rFonts w:ascii="Book Antiqua" w:hAnsi="Book Antiqua" w:cs="Times New Roman"/>
          <w:sz w:val="24"/>
          <w:szCs w:val="24"/>
          <w:lang w:val="en-US"/>
        </w:rPr>
        <w:t>overnment.</w:t>
      </w:r>
    </w:p>
    <w:p w14:paraId="2CF11DEF" w14:textId="7957E7FD" w:rsidR="00AD0BF0" w:rsidRPr="00263791" w:rsidRDefault="00777B7B" w:rsidP="00AD0BF0">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A</w:t>
      </w:r>
      <w:r w:rsidR="00AD0BF0" w:rsidRPr="00263791">
        <w:rPr>
          <w:rFonts w:ascii="Book Antiqua" w:hAnsi="Book Antiqua" w:cs="Times New Roman"/>
          <w:sz w:val="24"/>
          <w:szCs w:val="24"/>
          <w:lang w:val="en-US"/>
        </w:rPr>
        <w:t xml:space="preserve"> philosophy </w:t>
      </w:r>
      <w:r>
        <w:rPr>
          <w:rFonts w:ascii="Book Antiqua" w:hAnsi="Book Antiqua" w:cs="Times New Roman"/>
          <w:sz w:val="24"/>
          <w:szCs w:val="24"/>
          <w:lang w:val="en-US"/>
        </w:rPr>
        <w:t>which stresses that</w:t>
      </w:r>
      <w:r w:rsidR="00C776A3" w:rsidRPr="00263791">
        <w:rPr>
          <w:rFonts w:ascii="Book Antiqua" w:hAnsi="Book Antiqua" w:cs="Times New Roman"/>
          <w:sz w:val="24"/>
          <w:szCs w:val="24"/>
          <w:lang w:val="en-US"/>
        </w:rPr>
        <w:t xml:space="preserve"> Bahamian </w:t>
      </w:r>
      <w:r w:rsidR="00AD0BF0" w:rsidRPr="00263791">
        <w:rPr>
          <w:rFonts w:ascii="Book Antiqua" w:hAnsi="Book Antiqua" w:cs="Times New Roman"/>
          <w:sz w:val="24"/>
          <w:szCs w:val="24"/>
          <w:lang w:val="en-US"/>
        </w:rPr>
        <w:t>households</w:t>
      </w:r>
      <w:r w:rsidR="00C776A3" w:rsidRPr="00263791">
        <w:rPr>
          <w:rFonts w:ascii="Book Antiqua" w:hAnsi="Book Antiqua" w:cs="Times New Roman"/>
          <w:sz w:val="24"/>
          <w:szCs w:val="24"/>
          <w:lang w:val="en-US"/>
        </w:rPr>
        <w:t xml:space="preserve"> should prudently</w:t>
      </w:r>
      <w:r w:rsidR="00AD0BF0" w:rsidRPr="00263791">
        <w:rPr>
          <w:rFonts w:ascii="Book Antiqua" w:hAnsi="Book Antiqua" w:cs="Times New Roman"/>
          <w:sz w:val="24"/>
          <w:szCs w:val="24"/>
          <w:lang w:val="en-US"/>
        </w:rPr>
        <w:t xml:space="preserve"> manage their finances over a life time perspective is important</w:t>
      </w:r>
      <w:r w:rsidR="00C776A3" w:rsidRPr="00263791">
        <w:rPr>
          <w:rFonts w:ascii="Book Antiqua" w:hAnsi="Book Antiqua" w:cs="Times New Roman"/>
          <w:sz w:val="24"/>
          <w:szCs w:val="24"/>
          <w:lang w:val="en-US"/>
        </w:rPr>
        <w:t xml:space="preserve">—especially with </w:t>
      </w:r>
      <w:r w:rsidR="008524EA">
        <w:rPr>
          <w:rFonts w:ascii="Book Antiqua" w:hAnsi="Book Antiqua" w:cs="Times New Roman"/>
          <w:sz w:val="24"/>
          <w:szCs w:val="24"/>
          <w:lang w:val="en-US"/>
        </w:rPr>
        <w:t>mounting</w:t>
      </w:r>
      <w:r w:rsidR="00C3007C" w:rsidRPr="00263791">
        <w:rPr>
          <w:rFonts w:ascii="Book Antiqua" w:hAnsi="Book Antiqua" w:cs="Times New Roman"/>
          <w:sz w:val="24"/>
          <w:szCs w:val="24"/>
          <w:lang w:val="en-US"/>
        </w:rPr>
        <w:t xml:space="preserve"> climate change vulnerabilities</w:t>
      </w:r>
      <w:r w:rsidR="00AD0BF0" w:rsidRPr="00263791">
        <w:rPr>
          <w:rFonts w:ascii="Book Antiqua" w:hAnsi="Book Antiqua" w:cs="Times New Roman"/>
          <w:sz w:val="24"/>
          <w:szCs w:val="24"/>
          <w:lang w:val="en-US"/>
        </w:rPr>
        <w:t xml:space="preserve">.  </w:t>
      </w:r>
      <w:r w:rsidR="00C3007C" w:rsidRPr="00263791">
        <w:rPr>
          <w:rFonts w:ascii="Book Antiqua" w:hAnsi="Book Antiqua" w:cs="Times New Roman"/>
          <w:sz w:val="24"/>
          <w:szCs w:val="24"/>
          <w:lang w:val="en-US"/>
        </w:rPr>
        <w:t>J</w:t>
      </w:r>
      <w:r w:rsidR="00AD0BF0" w:rsidRPr="00263791">
        <w:rPr>
          <w:rFonts w:ascii="Book Antiqua" w:hAnsi="Book Antiqua" w:cs="Times New Roman"/>
          <w:sz w:val="24"/>
          <w:szCs w:val="24"/>
          <w:lang w:val="en-US"/>
        </w:rPr>
        <w:t xml:space="preserve">ust as in the case of the </w:t>
      </w:r>
      <w:r w:rsidR="000031DC">
        <w:rPr>
          <w:rFonts w:ascii="Book Antiqua" w:hAnsi="Book Antiqua" w:cs="Times New Roman"/>
          <w:sz w:val="24"/>
          <w:szCs w:val="24"/>
          <w:lang w:val="en-US"/>
        </w:rPr>
        <w:t>g</w:t>
      </w:r>
      <w:r w:rsidR="00AD0BF0" w:rsidRPr="00263791">
        <w:rPr>
          <w:rFonts w:ascii="Book Antiqua" w:hAnsi="Book Antiqua" w:cs="Times New Roman"/>
          <w:sz w:val="24"/>
          <w:szCs w:val="24"/>
          <w:lang w:val="en-US"/>
        </w:rPr>
        <w:t xml:space="preserve">overnment, </w:t>
      </w:r>
      <w:r w:rsidR="00C3007C" w:rsidRPr="00263791">
        <w:rPr>
          <w:rFonts w:ascii="Book Antiqua" w:hAnsi="Book Antiqua" w:cs="Times New Roman"/>
          <w:sz w:val="24"/>
          <w:szCs w:val="24"/>
          <w:lang w:val="en-US"/>
        </w:rPr>
        <w:t xml:space="preserve">the household’s approach to savings </w:t>
      </w:r>
      <w:r w:rsidR="004E5F27">
        <w:rPr>
          <w:rFonts w:ascii="Book Antiqua" w:hAnsi="Book Antiqua" w:cs="Times New Roman"/>
          <w:sz w:val="24"/>
          <w:szCs w:val="24"/>
          <w:lang w:val="en-US"/>
        </w:rPr>
        <w:t xml:space="preserve">should </w:t>
      </w:r>
      <w:r w:rsidR="00AD0BF0" w:rsidRPr="00263791">
        <w:rPr>
          <w:rFonts w:ascii="Book Antiqua" w:hAnsi="Book Antiqua" w:cs="Times New Roman"/>
          <w:sz w:val="24"/>
          <w:szCs w:val="24"/>
          <w:lang w:val="en-US"/>
        </w:rPr>
        <w:t xml:space="preserve">allow families to insure </w:t>
      </w:r>
      <w:r w:rsidR="00C3007C" w:rsidRPr="00263791">
        <w:rPr>
          <w:rFonts w:ascii="Book Antiqua" w:hAnsi="Book Antiqua" w:cs="Times New Roman"/>
          <w:sz w:val="24"/>
          <w:szCs w:val="24"/>
          <w:lang w:val="en-US"/>
        </w:rPr>
        <w:t xml:space="preserve">better </w:t>
      </w:r>
      <w:r w:rsidR="00AD0BF0" w:rsidRPr="00263791">
        <w:rPr>
          <w:rFonts w:ascii="Book Antiqua" w:hAnsi="Book Antiqua" w:cs="Times New Roman"/>
          <w:sz w:val="24"/>
          <w:szCs w:val="24"/>
          <w:lang w:val="en-US"/>
        </w:rPr>
        <w:t>against the setback</w:t>
      </w:r>
      <w:r w:rsidR="00C3007C" w:rsidRPr="00263791">
        <w:rPr>
          <w:rFonts w:ascii="Book Antiqua" w:hAnsi="Book Antiqua" w:cs="Times New Roman"/>
          <w:sz w:val="24"/>
          <w:szCs w:val="24"/>
          <w:lang w:val="en-US"/>
        </w:rPr>
        <w:t>s</w:t>
      </w:r>
      <w:r w:rsidR="00AD0BF0" w:rsidRPr="00263791">
        <w:rPr>
          <w:rFonts w:ascii="Book Antiqua" w:hAnsi="Book Antiqua" w:cs="Times New Roman"/>
          <w:sz w:val="24"/>
          <w:szCs w:val="24"/>
          <w:lang w:val="en-US"/>
        </w:rPr>
        <w:t xml:space="preserve"> from natural disasters.  Insurance has to factor into the cost of housing, just as should tax </w:t>
      </w:r>
      <w:r w:rsidR="00175715">
        <w:rPr>
          <w:rFonts w:ascii="Book Antiqua" w:hAnsi="Book Antiqua" w:cs="Times New Roman"/>
          <w:sz w:val="24"/>
          <w:szCs w:val="24"/>
          <w:lang w:val="en-US"/>
        </w:rPr>
        <w:t xml:space="preserve">and other maintenance </w:t>
      </w:r>
      <w:r w:rsidR="00AD0BF0" w:rsidRPr="00263791">
        <w:rPr>
          <w:rFonts w:ascii="Book Antiqua" w:hAnsi="Book Antiqua" w:cs="Times New Roman"/>
          <w:sz w:val="24"/>
          <w:szCs w:val="24"/>
          <w:lang w:val="en-US"/>
        </w:rPr>
        <w:t xml:space="preserve">obligations.  A part of the solution is accepting downsized housing, for which </w:t>
      </w:r>
      <w:r w:rsidR="00F00246">
        <w:rPr>
          <w:rFonts w:ascii="Book Antiqua" w:hAnsi="Book Antiqua" w:cs="Times New Roman"/>
          <w:sz w:val="24"/>
          <w:szCs w:val="24"/>
          <w:lang w:val="en-US"/>
        </w:rPr>
        <w:t>families</w:t>
      </w:r>
      <w:r w:rsidR="00AD0BF0" w:rsidRPr="00263791">
        <w:rPr>
          <w:rFonts w:ascii="Book Antiqua" w:hAnsi="Book Antiqua" w:cs="Times New Roman"/>
          <w:sz w:val="24"/>
          <w:szCs w:val="24"/>
          <w:lang w:val="en-US"/>
        </w:rPr>
        <w:t xml:space="preserve"> can more fully afford the insurance.  </w:t>
      </w:r>
      <w:r w:rsidR="00C3007C" w:rsidRPr="00263791">
        <w:rPr>
          <w:rFonts w:ascii="Book Antiqua" w:hAnsi="Book Antiqua" w:cs="Times New Roman"/>
          <w:sz w:val="24"/>
          <w:szCs w:val="24"/>
          <w:lang w:val="en-US"/>
        </w:rPr>
        <w:t>We must also be able to afford more r</w:t>
      </w:r>
      <w:r w:rsidR="00AD0BF0" w:rsidRPr="00263791">
        <w:rPr>
          <w:rFonts w:ascii="Book Antiqua" w:hAnsi="Book Antiqua" w:cs="Times New Roman"/>
          <w:sz w:val="24"/>
          <w:szCs w:val="24"/>
          <w:lang w:val="en-US"/>
        </w:rPr>
        <w:t>esilien</w:t>
      </w:r>
      <w:r w:rsidR="00C3007C" w:rsidRPr="00263791">
        <w:rPr>
          <w:rFonts w:ascii="Book Antiqua" w:hAnsi="Book Antiqua" w:cs="Times New Roman"/>
          <w:sz w:val="24"/>
          <w:szCs w:val="24"/>
          <w:lang w:val="en-US"/>
        </w:rPr>
        <w:t>t</w:t>
      </w:r>
      <w:r w:rsidR="00AD0BF0" w:rsidRPr="00263791">
        <w:rPr>
          <w:rFonts w:ascii="Book Antiqua" w:hAnsi="Book Antiqua" w:cs="Times New Roman"/>
          <w:sz w:val="24"/>
          <w:szCs w:val="24"/>
          <w:lang w:val="en-US"/>
        </w:rPr>
        <w:t xml:space="preserve"> physical </w:t>
      </w:r>
      <w:r w:rsidR="00C3007C" w:rsidRPr="00263791">
        <w:rPr>
          <w:rFonts w:ascii="Book Antiqua" w:hAnsi="Book Antiqua" w:cs="Times New Roman"/>
          <w:sz w:val="24"/>
          <w:szCs w:val="24"/>
          <w:lang w:val="en-US"/>
        </w:rPr>
        <w:t>dwellings.  A</w:t>
      </w:r>
      <w:r w:rsidR="00AD0BF0" w:rsidRPr="00263791">
        <w:rPr>
          <w:rFonts w:ascii="Book Antiqua" w:hAnsi="Book Antiqua" w:cs="Times New Roman"/>
          <w:sz w:val="24"/>
          <w:szCs w:val="24"/>
          <w:lang w:val="en-US"/>
        </w:rPr>
        <w:t xml:space="preserve">side, from being cautious about the coastline, </w:t>
      </w:r>
      <w:r w:rsidR="00C3007C" w:rsidRPr="00263791">
        <w:rPr>
          <w:rFonts w:ascii="Book Antiqua" w:hAnsi="Book Antiqua" w:cs="Times New Roman"/>
          <w:sz w:val="24"/>
          <w:szCs w:val="24"/>
          <w:lang w:val="en-US"/>
        </w:rPr>
        <w:t xml:space="preserve">it could mean </w:t>
      </w:r>
      <w:r w:rsidR="008524EA">
        <w:rPr>
          <w:rFonts w:ascii="Book Antiqua" w:hAnsi="Book Antiqua" w:cs="Times New Roman"/>
          <w:sz w:val="24"/>
          <w:szCs w:val="24"/>
          <w:lang w:val="en-US"/>
        </w:rPr>
        <w:t>more acceptance</w:t>
      </w:r>
      <w:r w:rsidR="00AD0BF0" w:rsidRPr="00263791">
        <w:rPr>
          <w:rFonts w:ascii="Book Antiqua" w:hAnsi="Book Antiqua" w:cs="Times New Roman"/>
          <w:sz w:val="24"/>
          <w:szCs w:val="24"/>
          <w:lang w:val="en-US"/>
        </w:rPr>
        <w:t xml:space="preserve"> of multi-family condominium style structure</w:t>
      </w:r>
      <w:r w:rsidR="008524EA">
        <w:rPr>
          <w:rFonts w:ascii="Book Antiqua" w:hAnsi="Book Antiqua" w:cs="Times New Roman"/>
          <w:sz w:val="24"/>
          <w:szCs w:val="24"/>
          <w:lang w:val="en-US"/>
        </w:rPr>
        <w:t>s</w:t>
      </w:r>
      <w:r w:rsidR="00AD0BF0" w:rsidRPr="00263791">
        <w:rPr>
          <w:rFonts w:ascii="Book Antiqua" w:hAnsi="Book Antiqua" w:cs="Times New Roman"/>
          <w:sz w:val="24"/>
          <w:szCs w:val="24"/>
          <w:lang w:val="en-US"/>
        </w:rPr>
        <w:t xml:space="preserve">, built more elevated and </w:t>
      </w:r>
      <w:r w:rsidR="00C3007C" w:rsidRPr="00263791">
        <w:rPr>
          <w:rFonts w:ascii="Book Antiqua" w:hAnsi="Book Antiqua" w:cs="Times New Roman"/>
          <w:sz w:val="24"/>
          <w:szCs w:val="24"/>
          <w:lang w:val="en-US"/>
        </w:rPr>
        <w:t xml:space="preserve">able </w:t>
      </w:r>
      <w:r w:rsidR="008524EA">
        <w:rPr>
          <w:rFonts w:ascii="Book Antiqua" w:hAnsi="Book Antiqua" w:cs="Times New Roman"/>
          <w:sz w:val="24"/>
          <w:szCs w:val="24"/>
          <w:lang w:val="en-US"/>
        </w:rPr>
        <w:t xml:space="preserve">to </w:t>
      </w:r>
      <w:r w:rsidR="00C3007C" w:rsidRPr="00263791">
        <w:rPr>
          <w:rFonts w:ascii="Book Antiqua" w:hAnsi="Book Antiqua" w:cs="Times New Roman"/>
          <w:sz w:val="24"/>
          <w:szCs w:val="24"/>
          <w:lang w:val="en-US"/>
        </w:rPr>
        <w:t xml:space="preserve">withstand </w:t>
      </w:r>
      <w:r w:rsidR="00AD0BF0" w:rsidRPr="00263791">
        <w:rPr>
          <w:rFonts w:ascii="Book Antiqua" w:hAnsi="Book Antiqua" w:cs="Times New Roman"/>
          <w:sz w:val="24"/>
          <w:szCs w:val="24"/>
          <w:lang w:val="en-US"/>
        </w:rPr>
        <w:t>higher wind</w:t>
      </w:r>
      <w:r w:rsidR="00C3007C" w:rsidRPr="00263791">
        <w:rPr>
          <w:rFonts w:ascii="Book Antiqua" w:hAnsi="Book Antiqua" w:cs="Times New Roman"/>
          <w:sz w:val="24"/>
          <w:szCs w:val="24"/>
          <w:lang w:val="en-US"/>
        </w:rPr>
        <w:t>s</w:t>
      </w:r>
      <w:r w:rsidR="00A37039">
        <w:rPr>
          <w:rFonts w:ascii="Book Antiqua" w:hAnsi="Book Antiqua" w:cs="Times New Roman"/>
          <w:sz w:val="24"/>
          <w:szCs w:val="24"/>
          <w:lang w:val="en-US"/>
        </w:rPr>
        <w:t xml:space="preserve"> forces</w:t>
      </w:r>
      <w:r w:rsidR="008524EA">
        <w:rPr>
          <w:rFonts w:ascii="Book Antiqua" w:hAnsi="Book Antiqua" w:cs="Times New Roman"/>
          <w:sz w:val="24"/>
          <w:szCs w:val="24"/>
          <w:lang w:val="en-US"/>
        </w:rPr>
        <w:t xml:space="preserve"> than single-</w:t>
      </w:r>
      <w:r w:rsidR="00AD0BF0" w:rsidRPr="00263791">
        <w:rPr>
          <w:rFonts w:ascii="Book Antiqua" w:hAnsi="Book Antiqua" w:cs="Times New Roman"/>
          <w:sz w:val="24"/>
          <w:szCs w:val="24"/>
          <w:lang w:val="en-US"/>
        </w:rPr>
        <w:t>family housing.</w:t>
      </w:r>
      <w:r w:rsidR="00C3007C" w:rsidRPr="00263791">
        <w:rPr>
          <w:rFonts w:ascii="Book Antiqua" w:hAnsi="Book Antiqua" w:cs="Times New Roman"/>
          <w:sz w:val="24"/>
          <w:szCs w:val="24"/>
          <w:lang w:val="en-US"/>
        </w:rPr>
        <w:t xml:space="preserve"> </w:t>
      </w:r>
      <w:r w:rsidR="00BD64BA">
        <w:rPr>
          <w:rFonts w:ascii="Book Antiqua" w:hAnsi="Book Antiqua" w:cs="Times New Roman"/>
          <w:sz w:val="24"/>
          <w:szCs w:val="24"/>
          <w:lang w:val="en-US"/>
        </w:rPr>
        <w:t xml:space="preserve"> </w:t>
      </w:r>
      <w:r w:rsidR="00C3007C" w:rsidRPr="00263791">
        <w:rPr>
          <w:rFonts w:ascii="Book Antiqua" w:hAnsi="Book Antiqua" w:cs="Times New Roman"/>
          <w:sz w:val="24"/>
          <w:szCs w:val="24"/>
          <w:lang w:val="en-US"/>
        </w:rPr>
        <w:t>A</w:t>
      </w:r>
      <w:r w:rsidR="00AD0BF0" w:rsidRPr="00263791">
        <w:rPr>
          <w:rFonts w:ascii="Book Antiqua" w:hAnsi="Book Antiqua" w:cs="Times New Roman"/>
          <w:sz w:val="24"/>
          <w:szCs w:val="24"/>
          <w:lang w:val="en-US"/>
        </w:rPr>
        <w:t>ccept</w:t>
      </w:r>
      <w:r w:rsidR="00C3007C" w:rsidRPr="00263791">
        <w:rPr>
          <w:rFonts w:ascii="Book Antiqua" w:hAnsi="Book Antiqua" w:cs="Times New Roman"/>
          <w:sz w:val="24"/>
          <w:szCs w:val="24"/>
          <w:lang w:val="en-US"/>
        </w:rPr>
        <w:t>ing</w:t>
      </w:r>
      <w:r w:rsidR="00AD0BF0" w:rsidRPr="00263791">
        <w:rPr>
          <w:rFonts w:ascii="Book Antiqua" w:hAnsi="Book Antiqua" w:cs="Times New Roman"/>
          <w:sz w:val="24"/>
          <w:szCs w:val="24"/>
          <w:lang w:val="en-US"/>
        </w:rPr>
        <w:t xml:space="preserve"> the premise that some families are not going to be voluntarily disciplined then public </w:t>
      </w:r>
      <w:r w:rsidR="00C3007C" w:rsidRPr="00263791">
        <w:rPr>
          <w:rFonts w:ascii="Book Antiqua" w:hAnsi="Book Antiqua" w:cs="Times New Roman"/>
          <w:sz w:val="24"/>
          <w:szCs w:val="24"/>
          <w:lang w:val="en-US"/>
        </w:rPr>
        <w:t>policy</w:t>
      </w:r>
      <w:r w:rsidR="00AD0BF0" w:rsidRPr="00263791">
        <w:rPr>
          <w:rFonts w:ascii="Book Antiqua" w:hAnsi="Book Antiqua" w:cs="Times New Roman"/>
          <w:sz w:val="24"/>
          <w:szCs w:val="24"/>
          <w:lang w:val="en-US"/>
        </w:rPr>
        <w:t xml:space="preserve"> would have to cause the insurance to be secure</w:t>
      </w:r>
      <w:r w:rsidR="00C3007C" w:rsidRPr="00263791">
        <w:rPr>
          <w:rFonts w:ascii="Book Antiqua" w:hAnsi="Book Antiqua" w:cs="Times New Roman"/>
          <w:sz w:val="24"/>
          <w:szCs w:val="24"/>
          <w:lang w:val="en-US"/>
        </w:rPr>
        <w:t xml:space="preserve">d.  This </w:t>
      </w:r>
      <w:r w:rsidR="00AD0BF0" w:rsidRPr="00263791">
        <w:rPr>
          <w:rFonts w:ascii="Book Antiqua" w:hAnsi="Book Antiqua" w:cs="Times New Roman"/>
          <w:sz w:val="24"/>
          <w:szCs w:val="24"/>
          <w:lang w:val="en-US"/>
        </w:rPr>
        <w:t>speaks to taxpayer</w:t>
      </w:r>
      <w:r w:rsidR="00C3007C" w:rsidRPr="00263791">
        <w:rPr>
          <w:rFonts w:ascii="Book Antiqua" w:hAnsi="Book Antiqua" w:cs="Times New Roman"/>
          <w:sz w:val="24"/>
          <w:szCs w:val="24"/>
          <w:lang w:val="en-US"/>
        </w:rPr>
        <w:t xml:space="preserve"> funding on some direct level.</w:t>
      </w:r>
    </w:p>
    <w:p w14:paraId="3D8EFD35" w14:textId="773380F3" w:rsidR="008524EA" w:rsidRDefault="00C3007C" w:rsidP="00AD0BF0">
      <w:pPr>
        <w:spacing w:line="360" w:lineRule="auto"/>
        <w:jc w:val="both"/>
        <w:rPr>
          <w:rFonts w:ascii="Book Antiqua" w:hAnsi="Book Antiqua" w:cs="Times New Roman"/>
          <w:sz w:val="24"/>
          <w:szCs w:val="24"/>
          <w:lang w:val="en-US"/>
        </w:rPr>
      </w:pPr>
      <w:r w:rsidRPr="00263791">
        <w:rPr>
          <w:rFonts w:ascii="Book Antiqua" w:hAnsi="Book Antiqua" w:cs="Times New Roman"/>
          <w:sz w:val="24"/>
          <w:szCs w:val="24"/>
          <w:lang w:val="en-US"/>
        </w:rPr>
        <w:t>Having</w:t>
      </w:r>
      <w:r w:rsidR="00AD0BF0" w:rsidRPr="00263791">
        <w:rPr>
          <w:rFonts w:ascii="Book Antiqua" w:hAnsi="Book Antiqua" w:cs="Times New Roman"/>
          <w:sz w:val="24"/>
          <w:szCs w:val="24"/>
          <w:lang w:val="en-US"/>
        </w:rPr>
        <w:t xml:space="preserve"> saving</w:t>
      </w:r>
      <w:r w:rsidRPr="00263791">
        <w:rPr>
          <w:rFonts w:ascii="Book Antiqua" w:hAnsi="Book Antiqua" w:cs="Times New Roman"/>
          <w:sz w:val="24"/>
          <w:szCs w:val="24"/>
          <w:lang w:val="en-US"/>
        </w:rPr>
        <w:t>s buffers</w:t>
      </w:r>
      <w:r w:rsidR="00AD0BF0" w:rsidRPr="00263791">
        <w:rPr>
          <w:rFonts w:ascii="Book Antiqua" w:hAnsi="Book Antiqua" w:cs="Times New Roman"/>
          <w:sz w:val="24"/>
          <w:szCs w:val="24"/>
          <w:lang w:val="en-US"/>
        </w:rPr>
        <w:t xml:space="preserve"> also means that </w:t>
      </w:r>
      <w:r w:rsidRPr="00263791">
        <w:rPr>
          <w:rFonts w:ascii="Book Antiqua" w:hAnsi="Book Antiqua" w:cs="Times New Roman"/>
          <w:sz w:val="24"/>
          <w:szCs w:val="24"/>
          <w:lang w:val="en-US"/>
        </w:rPr>
        <w:t xml:space="preserve">our </w:t>
      </w:r>
      <w:r w:rsidR="00AD0BF0" w:rsidRPr="00263791">
        <w:rPr>
          <w:rFonts w:ascii="Book Antiqua" w:hAnsi="Book Antiqua" w:cs="Times New Roman"/>
          <w:sz w:val="24"/>
          <w:szCs w:val="24"/>
          <w:lang w:val="en-US"/>
        </w:rPr>
        <w:t>families have to be more conservative about their debt level</w:t>
      </w:r>
      <w:r w:rsidRPr="00263791">
        <w:rPr>
          <w:rFonts w:ascii="Book Antiqua" w:hAnsi="Book Antiqua" w:cs="Times New Roman"/>
          <w:sz w:val="24"/>
          <w:szCs w:val="24"/>
          <w:lang w:val="en-US"/>
        </w:rPr>
        <w:t>s</w:t>
      </w:r>
      <w:r w:rsidR="00AD0BF0" w:rsidRPr="00263791">
        <w:rPr>
          <w:rFonts w:ascii="Book Antiqua" w:hAnsi="Book Antiqua" w:cs="Times New Roman"/>
          <w:sz w:val="24"/>
          <w:szCs w:val="24"/>
          <w:lang w:val="en-US"/>
        </w:rPr>
        <w:t xml:space="preserve"> in ordinary time</w:t>
      </w:r>
      <w:r w:rsidRPr="00263791">
        <w:rPr>
          <w:rFonts w:ascii="Book Antiqua" w:hAnsi="Book Antiqua" w:cs="Times New Roman"/>
          <w:sz w:val="24"/>
          <w:szCs w:val="24"/>
          <w:lang w:val="en-US"/>
        </w:rPr>
        <w:t>s</w:t>
      </w:r>
      <w:r w:rsidR="00AD0BF0" w:rsidRPr="00263791">
        <w:rPr>
          <w:rFonts w:ascii="Book Antiqua" w:hAnsi="Book Antiqua" w:cs="Times New Roman"/>
          <w:sz w:val="24"/>
          <w:szCs w:val="24"/>
          <w:lang w:val="en-US"/>
        </w:rPr>
        <w:t xml:space="preserve">.  Even with the relaxed position that </w:t>
      </w:r>
      <w:r w:rsidRPr="00263791">
        <w:rPr>
          <w:rFonts w:ascii="Book Antiqua" w:hAnsi="Book Antiqua" w:cs="Times New Roman"/>
          <w:sz w:val="24"/>
          <w:szCs w:val="24"/>
          <w:lang w:val="en-US"/>
        </w:rPr>
        <w:t>local lending institutions</w:t>
      </w:r>
      <w:r w:rsidR="00AD0BF0" w:rsidRPr="00263791">
        <w:rPr>
          <w:rFonts w:ascii="Book Antiqua" w:hAnsi="Book Antiqua" w:cs="Times New Roman"/>
          <w:sz w:val="24"/>
          <w:szCs w:val="24"/>
          <w:lang w:val="en-US"/>
        </w:rPr>
        <w:t xml:space="preserve"> are </w:t>
      </w:r>
      <w:r w:rsidR="00EA5127">
        <w:rPr>
          <w:rFonts w:ascii="Book Antiqua" w:hAnsi="Book Antiqua" w:cs="Times New Roman"/>
          <w:sz w:val="24"/>
          <w:szCs w:val="24"/>
          <w:lang w:val="en-US"/>
        </w:rPr>
        <w:t xml:space="preserve">now </w:t>
      </w:r>
      <w:r w:rsidR="00AD0BF0" w:rsidRPr="00263791">
        <w:rPr>
          <w:rFonts w:ascii="Book Antiqua" w:hAnsi="Book Antiqua" w:cs="Times New Roman"/>
          <w:sz w:val="24"/>
          <w:szCs w:val="24"/>
          <w:lang w:val="en-US"/>
        </w:rPr>
        <w:t xml:space="preserve">taking </w:t>
      </w:r>
      <w:r w:rsidRPr="00263791">
        <w:rPr>
          <w:rFonts w:ascii="Book Antiqua" w:hAnsi="Book Antiqua" w:cs="Times New Roman"/>
          <w:sz w:val="24"/>
          <w:szCs w:val="24"/>
          <w:lang w:val="en-US"/>
        </w:rPr>
        <w:t xml:space="preserve">to </w:t>
      </w:r>
      <w:r w:rsidR="00AD0BF0" w:rsidRPr="00263791">
        <w:rPr>
          <w:rFonts w:ascii="Book Antiqua" w:hAnsi="Book Antiqua" w:cs="Times New Roman"/>
          <w:sz w:val="24"/>
          <w:szCs w:val="24"/>
          <w:lang w:val="en-US"/>
        </w:rPr>
        <w:t xml:space="preserve">accommodate borrowers after the </w:t>
      </w:r>
      <w:r w:rsidR="00BF370E">
        <w:rPr>
          <w:rFonts w:ascii="Book Antiqua" w:hAnsi="Book Antiqua" w:cs="Times New Roman"/>
          <w:sz w:val="24"/>
          <w:szCs w:val="24"/>
          <w:lang w:val="en-US"/>
        </w:rPr>
        <w:t>recent</w:t>
      </w:r>
      <w:r w:rsidR="008524EA">
        <w:rPr>
          <w:rFonts w:ascii="Book Antiqua" w:hAnsi="Book Antiqua" w:cs="Times New Roman"/>
          <w:sz w:val="24"/>
          <w:szCs w:val="24"/>
          <w:lang w:val="en-US"/>
        </w:rPr>
        <w:t xml:space="preserve"> </w:t>
      </w:r>
      <w:r w:rsidR="00BF370E">
        <w:rPr>
          <w:rFonts w:ascii="Book Antiqua" w:hAnsi="Book Antiqua" w:cs="Times New Roman"/>
          <w:sz w:val="24"/>
          <w:szCs w:val="24"/>
          <w:lang w:val="en-US"/>
        </w:rPr>
        <w:t>storm</w:t>
      </w:r>
      <w:r w:rsidR="00AD0BF0" w:rsidRPr="00263791">
        <w:rPr>
          <w:rFonts w:ascii="Book Antiqua" w:hAnsi="Book Antiqua" w:cs="Times New Roman"/>
          <w:sz w:val="24"/>
          <w:szCs w:val="24"/>
          <w:lang w:val="en-US"/>
        </w:rPr>
        <w:t xml:space="preserve">, there will be some </w:t>
      </w:r>
      <w:r w:rsidRPr="00263791">
        <w:rPr>
          <w:rFonts w:ascii="Book Antiqua" w:hAnsi="Book Antiqua" w:cs="Times New Roman"/>
          <w:sz w:val="24"/>
          <w:szCs w:val="24"/>
          <w:lang w:val="en-US"/>
        </w:rPr>
        <w:t xml:space="preserve">families </w:t>
      </w:r>
      <w:r w:rsidR="00AD0BF0" w:rsidRPr="00263791">
        <w:rPr>
          <w:rFonts w:ascii="Book Antiqua" w:hAnsi="Book Antiqua" w:cs="Times New Roman"/>
          <w:sz w:val="24"/>
          <w:szCs w:val="24"/>
          <w:lang w:val="en-US"/>
        </w:rPr>
        <w:t xml:space="preserve">who </w:t>
      </w:r>
      <w:r w:rsidRPr="00263791">
        <w:rPr>
          <w:rFonts w:ascii="Book Antiqua" w:hAnsi="Book Antiqua" w:cs="Times New Roman"/>
          <w:sz w:val="24"/>
          <w:szCs w:val="24"/>
          <w:lang w:val="en-US"/>
        </w:rPr>
        <w:t xml:space="preserve">are </w:t>
      </w:r>
      <w:r w:rsidR="00AD0BF0" w:rsidRPr="00263791">
        <w:rPr>
          <w:rFonts w:ascii="Book Antiqua" w:hAnsi="Book Antiqua" w:cs="Times New Roman"/>
          <w:sz w:val="24"/>
          <w:szCs w:val="24"/>
          <w:lang w:val="en-US"/>
        </w:rPr>
        <w:t>be unable to take on more debt to finance necessary home repairs or to replace lost asset</w:t>
      </w:r>
      <w:r w:rsidRPr="00263791">
        <w:rPr>
          <w:rFonts w:ascii="Book Antiqua" w:hAnsi="Book Antiqua" w:cs="Times New Roman"/>
          <w:sz w:val="24"/>
          <w:szCs w:val="24"/>
          <w:lang w:val="en-US"/>
        </w:rPr>
        <w:t>s</w:t>
      </w:r>
      <w:r w:rsidR="00AD0BF0" w:rsidRPr="00263791">
        <w:rPr>
          <w:rFonts w:ascii="Book Antiqua" w:hAnsi="Book Antiqua" w:cs="Times New Roman"/>
          <w:sz w:val="24"/>
          <w:szCs w:val="24"/>
          <w:lang w:val="en-US"/>
        </w:rPr>
        <w:t>.  Again, this means more scrutiny of the expenditure levels that families take on in ordinary times.  Th</w:t>
      </w:r>
      <w:r w:rsidRPr="00263791">
        <w:rPr>
          <w:rFonts w:ascii="Book Antiqua" w:hAnsi="Book Antiqua" w:cs="Times New Roman"/>
          <w:sz w:val="24"/>
          <w:szCs w:val="24"/>
          <w:lang w:val="en-US"/>
        </w:rPr>
        <w:t>e policy intervention from the C</w:t>
      </w:r>
      <w:r w:rsidR="00AD0BF0" w:rsidRPr="00263791">
        <w:rPr>
          <w:rFonts w:ascii="Book Antiqua" w:hAnsi="Book Antiqua" w:cs="Times New Roman"/>
          <w:sz w:val="24"/>
          <w:szCs w:val="24"/>
          <w:lang w:val="en-US"/>
        </w:rPr>
        <w:t xml:space="preserve">entral </w:t>
      </w:r>
      <w:r w:rsidRPr="00263791">
        <w:rPr>
          <w:rFonts w:ascii="Book Antiqua" w:hAnsi="Book Antiqua" w:cs="Times New Roman"/>
          <w:sz w:val="24"/>
          <w:szCs w:val="24"/>
          <w:lang w:val="en-US"/>
        </w:rPr>
        <w:t>B</w:t>
      </w:r>
      <w:r w:rsidR="00AD0BF0" w:rsidRPr="00263791">
        <w:rPr>
          <w:rFonts w:ascii="Book Antiqua" w:hAnsi="Book Antiqua" w:cs="Times New Roman"/>
          <w:sz w:val="24"/>
          <w:szCs w:val="24"/>
          <w:lang w:val="en-US"/>
        </w:rPr>
        <w:t>ank side</w:t>
      </w:r>
      <w:r w:rsidR="003F23B3">
        <w:rPr>
          <w:rFonts w:ascii="Book Antiqua" w:hAnsi="Book Antiqua" w:cs="Times New Roman"/>
          <w:sz w:val="24"/>
          <w:szCs w:val="24"/>
          <w:lang w:val="en-US"/>
        </w:rPr>
        <w:t xml:space="preserve"> </w:t>
      </w:r>
      <w:r w:rsidR="00AD0BF0" w:rsidRPr="00263791">
        <w:rPr>
          <w:rFonts w:ascii="Book Antiqua" w:hAnsi="Book Antiqua" w:cs="Times New Roman"/>
          <w:sz w:val="24"/>
          <w:szCs w:val="24"/>
          <w:lang w:val="en-US"/>
        </w:rPr>
        <w:t xml:space="preserve">would lean towards tighter lending standards for households that are not yet </w:t>
      </w:r>
      <w:r w:rsidR="009D1D24">
        <w:rPr>
          <w:rFonts w:ascii="Book Antiqua" w:hAnsi="Book Antiqua" w:cs="Times New Roman"/>
          <w:sz w:val="24"/>
          <w:szCs w:val="24"/>
          <w:lang w:val="en-US"/>
        </w:rPr>
        <w:t xml:space="preserve">in </w:t>
      </w:r>
      <w:r w:rsidR="00AD0BF0" w:rsidRPr="00263791">
        <w:rPr>
          <w:rFonts w:ascii="Book Antiqua" w:hAnsi="Book Antiqua" w:cs="Times New Roman"/>
          <w:sz w:val="24"/>
          <w:szCs w:val="24"/>
          <w:lang w:val="en-US"/>
        </w:rPr>
        <w:t xml:space="preserve">distress.  </w:t>
      </w:r>
    </w:p>
    <w:p w14:paraId="31B76E58" w14:textId="0B6908F9" w:rsidR="008524EA" w:rsidRDefault="00AD0BF0" w:rsidP="00AD0BF0">
      <w:pPr>
        <w:spacing w:line="360" w:lineRule="auto"/>
        <w:jc w:val="both"/>
        <w:rPr>
          <w:rFonts w:ascii="Book Antiqua" w:hAnsi="Book Antiqua" w:cs="Times New Roman"/>
          <w:sz w:val="24"/>
          <w:szCs w:val="24"/>
          <w:lang w:val="en-US"/>
        </w:rPr>
      </w:pPr>
      <w:r w:rsidRPr="00263791">
        <w:rPr>
          <w:rFonts w:ascii="Book Antiqua" w:hAnsi="Book Antiqua" w:cs="Times New Roman"/>
          <w:sz w:val="24"/>
          <w:szCs w:val="24"/>
          <w:lang w:val="en-US"/>
        </w:rPr>
        <w:t>At the national level</w:t>
      </w:r>
      <w:r w:rsidR="00C3007C" w:rsidRPr="00263791">
        <w:rPr>
          <w:rFonts w:ascii="Book Antiqua" w:hAnsi="Book Antiqua" w:cs="Times New Roman"/>
          <w:sz w:val="24"/>
          <w:szCs w:val="24"/>
          <w:lang w:val="en-US"/>
        </w:rPr>
        <w:t>,</w:t>
      </w:r>
      <w:r w:rsidRPr="00263791">
        <w:rPr>
          <w:rFonts w:ascii="Book Antiqua" w:hAnsi="Book Antiqua" w:cs="Times New Roman"/>
          <w:sz w:val="24"/>
          <w:szCs w:val="24"/>
          <w:lang w:val="en-US"/>
        </w:rPr>
        <w:t xml:space="preserve"> regulation on lending standards will also need to reflect uniformity across entities that are not supervised by the </w:t>
      </w:r>
      <w:r w:rsidR="008524EA">
        <w:rPr>
          <w:rFonts w:ascii="Book Antiqua" w:hAnsi="Book Antiqua" w:cs="Times New Roman"/>
          <w:sz w:val="24"/>
          <w:szCs w:val="24"/>
          <w:lang w:val="en-US"/>
        </w:rPr>
        <w:t>C</w:t>
      </w:r>
      <w:r w:rsidRPr="00263791">
        <w:rPr>
          <w:rFonts w:ascii="Book Antiqua" w:hAnsi="Book Antiqua" w:cs="Times New Roman"/>
          <w:sz w:val="24"/>
          <w:szCs w:val="24"/>
          <w:lang w:val="en-US"/>
        </w:rPr>
        <w:t xml:space="preserve">entral </w:t>
      </w:r>
      <w:r w:rsidR="008524EA">
        <w:rPr>
          <w:rFonts w:ascii="Book Antiqua" w:hAnsi="Book Antiqua" w:cs="Times New Roman"/>
          <w:sz w:val="24"/>
          <w:szCs w:val="24"/>
          <w:lang w:val="en-US"/>
        </w:rPr>
        <w:t>B</w:t>
      </w:r>
      <w:r w:rsidRPr="00263791">
        <w:rPr>
          <w:rFonts w:ascii="Book Antiqua" w:hAnsi="Book Antiqua" w:cs="Times New Roman"/>
          <w:sz w:val="24"/>
          <w:szCs w:val="24"/>
          <w:lang w:val="en-US"/>
        </w:rPr>
        <w:t xml:space="preserve">ank. </w:t>
      </w:r>
      <w:r w:rsidR="00C3007C" w:rsidRPr="00263791">
        <w:rPr>
          <w:rFonts w:ascii="Book Antiqua" w:hAnsi="Book Antiqua" w:cs="Times New Roman"/>
          <w:sz w:val="24"/>
          <w:szCs w:val="24"/>
          <w:lang w:val="en-US"/>
        </w:rPr>
        <w:t xml:space="preserve"> </w:t>
      </w:r>
      <w:r w:rsidRPr="00263791">
        <w:rPr>
          <w:rFonts w:ascii="Book Antiqua" w:hAnsi="Book Antiqua" w:cs="Times New Roman"/>
          <w:sz w:val="24"/>
          <w:szCs w:val="24"/>
          <w:lang w:val="en-US"/>
        </w:rPr>
        <w:t xml:space="preserve">It is </w:t>
      </w:r>
      <w:r w:rsidR="008524EA">
        <w:rPr>
          <w:rFonts w:ascii="Book Antiqua" w:hAnsi="Book Antiqua" w:cs="Times New Roman"/>
          <w:sz w:val="24"/>
          <w:szCs w:val="24"/>
          <w:lang w:val="en-US"/>
        </w:rPr>
        <w:t xml:space="preserve">a </w:t>
      </w:r>
      <w:r w:rsidRPr="00263791">
        <w:rPr>
          <w:rFonts w:ascii="Book Antiqua" w:hAnsi="Book Antiqua" w:cs="Times New Roman"/>
          <w:sz w:val="24"/>
          <w:szCs w:val="24"/>
          <w:lang w:val="en-US"/>
        </w:rPr>
        <w:t>macro-prudential concern</w:t>
      </w:r>
      <w:r w:rsidR="00A51F3B">
        <w:rPr>
          <w:rFonts w:ascii="Book Antiqua" w:hAnsi="Book Antiqua" w:cs="Times New Roman"/>
          <w:sz w:val="24"/>
          <w:szCs w:val="24"/>
          <w:lang w:val="en-US"/>
        </w:rPr>
        <w:t>—</w:t>
      </w:r>
      <w:r w:rsidR="008524EA">
        <w:rPr>
          <w:rFonts w:ascii="Book Antiqua" w:hAnsi="Book Antiqua" w:cs="Times New Roman"/>
          <w:sz w:val="24"/>
          <w:szCs w:val="24"/>
          <w:lang w:val="en-US"/>
        </w:rPr>
        <w:t xml:space="preserve">meaning </w:t>
      </w:r>
      <w:r w:rsidR="00A51F3B">
        <w:rPr>
          <w:rFonts w:ascii="Book Antiqua" w:hAnsi="Book Antiqua" w:cs="Times New Roman"/>
          <w:sz w:val="24"/>
          <w:szCs w:val="24"/>
          <w:lang w:val="en-US"/>
        </w:rPr>
        <w:t xml:space="preserve">that </w:t>
      </w:r>
      <w:r w:rsidR="008524EA">
        <w:rPr>
          <w:rFonts w:ascii="Book Antiqua" w:hAnsi="Book Antiqua" w:cs="Times New Roman"/>
          <w:sz w:val="24"/>
          <w:szCs w:val="24"/>
          <w:lang w:val="en-US"/>
        </w:rPr>
        <w:t>it could undermine the stability of the financial system</w:t>
      </w:r>
      <w:r w:rsidR="003F2D59">
        <w:rPr>
          <w:rFonts w:ascii="Book Antiqua" w:hAnsi="Book Antiqua" w:cs="Times New Roman"/>
          <w:sz w:val="24"/>
          <w:szCs w:val="24"/>
          <w:lang w:val="en-US"/>
        </w:rPr>
        <w:t xml:space="preserve"> in a general sense</w:t>
      </w:r>
      <w:r w:rsidR="008524EA">
        <w:rPr>
          <w:rFonts w:ascii="Book Antiqua" w:hAnsi="Book Antiqua" w:cs="Times New Roman"/>
          <w:sz w:val="24"/>
          <w:szCs w:val="24"/>
          <w:lang w:val="en-US"/>
        </w:rPr>
        <w:t>, if left untreated</w:t>
      </w:r>
      <w:r w:rsidR="00A51F3B">
        <w:rPr>
          <w:rFonts w:ascii="Book Antiqua" w:hAnsi="Book Antiqua" w:cs="Times New Roman"/>
          <w:sz w:val="24"/>
          <w:szCs w:val="24"/>
          <w:lang w:val="en-US"/>
        </w:rPr>
        <w:t>.</w:t>
      </w:r>
      <w:r w:rsidR="008524EA">
        <w:rPr>
          <w:rFonts w:ascii="Book Antiqua" w:hAnsi="Book Antiqua" w:cs="Times New Roman"/>
          <w:sz w:val="24"/>
          <w:szCs w:val="24"/>
          <w:lang w:val="en-US"/>
        </w:rPr>
        <w:t xml:space="preserve"> </w:t>
      </w:r>
      <w:r w:rsidRPr="00263791">
        <w:rPr>
          <w:rFonts w:ascii="Book Antiqua" w:hAnsi="Book Antiqua" w:cs="Times New Roman"/>
          <w:sz w:val="24"/>
          <w:szCs w:val="24"/>
          <w:lang w:val="en-US"/>
        </w:rPr>
        <w:t xml:space="preserve"> </w:t>
      </w:r>
      <w:r w:rsidR="008524EA">
        <w:rPr>
          <w:rFonts w:ascii="Book Antiqua" w:hAnsi="Book Antiqua" w:cs="Times New Roman"/>
          <w:sz w:val="24"/>
          <w:szCs w:val="24"/>
          <w:lang w:val="en-US"/>
        </w:rPr>
        <w:t>In the extreme</w:t>
      </w:r>
      <w:r w:rsidR="00207CA1">
        <w:rPr>
          <w:rFonts w:ascii="Book Antiqua" w:hAnsi="Book Antiqua" w:cs="Times New Roman"/>
          <w:sz w:val="24"/>
          <w:szCs w:val="24"/>
          <w:lang w:val="en-US"/>
        </w:rPr>
        <w:t>,</w:t>
      </w:r>
      <w:r w:rsidR="008524EA">
        <w:rPr>
          <w:rFonts w:ascii="Book Antiqua" w:hAnsi="Book Antiqua" w:cs="Times New Roman"/>
          <w:sz w:val="24"/>
          <w:szCs w:val="24"/>
          <w:lang w:val="en-US"/>
        </w:rPr>
        <w:t xml:space="preserve"> it could affect</w:t>
      </w:r>
      <w:r w:rsidRPr="00263791">
        <w:rPr>
          <w:rFonts w:ascii="Book Antiqua" w:hAnsi="Book Antiqua" w:cs="Times New Roman"/>
          <w:sz w:val="24"/>
          <w:szCs w:val="24"/>
          <w:lang w:val="en-US"/>
        </w:rPr>
        <w:t xml:space="preserve"> how the economy in the aggregate is able bounce back from natural disasters.</w:t>
      </w:r>
    </w:p>
    <w:p w14:paraId="39D49E93" w14:textId="596868FF" w:rsidR="00AD0BF0" w:rsidRPr="00263791" w:rsidRDefault="00C3007C" w:rsidP="00AD0BF0">
      <w:pPr>
        <w:spacing w:line="360" w:lineRule="auto"/>
        <w:jc w:val="both"/>
        <w:rPr>
          <w:rFonts w:ascii="Book Antiqua" w:hAnsi="Book Antiqua" w:cs="Times New Roman"/>
          <w:sz w:val="24"/>
          <w:szCs w:val="24"/>
          <w:lang w:val="en-US"/>
        </w:rPr>
      </w:pPr>
      <w:r w:rsidRPr="00263791">
        <w:rPr>
          <w:rFonts w:ascii="Book Antiqua" w:hAnsi="Book Antiqua" w:cs="Times New Roman"/>
          <w:sz w:val="24"/>
          <w:szCs w:val="24"/>
          <w:lang w:val="en-US"/>
        </w:rPr>
        <w:t xml:space="preserve"> </w:t>
      </w:r>
      <w:r w:rsidR="008524EA">
        <w:rPr>
          <w:rFonts w:ascii="Book Antiqua" w:hAnsi="Book Antiqua" w:cs="Times New Roman"/>
          <w:sz w:val="24"/>
          <w:szCs w:val="24"/>
          <w:lang w:val="en-US"/>
        </w:rPr>
        <w:t>The Central Bank’s</w:t>
      </w:r>
      <w:r w:rsidRPr="00263791">
        <w:rPr>
          <w:rFonts w:ascii="Book Antiqua" w:hAnsi="Book Antiqua" w:cs="Times New Roman"/>
          <w:sz w:val="24"/>
          <w:szCs w:val="24"/>
          <w:lang w:val="en-US"/>
        </w:rPr>
        <w:t xml:space="preserve"> medium-term approach will </w:t>
      </w:r>
      <w:r w:rsidR="002E3BFE">
        <w:rPr>
          <w:rFonts w:ascii="Book Antiqua" w:hAnsi="Book Antiqua" w:cs="Times New Roman"/>
          <w:sz w:val="24"/>
          <w:szCs w:val="24"/>
          <w:lang w:val="en-US"/>
        </w:rPr>
        <w:t xml:space="preserve">be to </w:t>
      </w:r>
      <w:r w:rsidRPr="00263791">
        <w:rPr>
          <w:rFonts w:ascii="Book Antiqua" w:hAnsi="Book Antiqua" w:cs="Times New Roman"/>
          <w:sz w:val="24"/>
          <w:szCs w:val="24"/>
          <w:lang w:val="en-US"/>
        </w:rPr>
        <w:t>also explore</w:t>
      </w:r>
      <w:r w:rsidR="00A638F8">
        <w:rPr>
          <w:rFonts w:ascii="Book Antiqua" w:hAnsi="Book Antiqua" w:cs="Times New Roman"/>
          <w:sz w:val="24"/>
          <w:szCs w:val="24"/>
          <w:lang w:val="en-US"/>
        </w:rPr>
        <w:t xml:space="preserve"> </w:t>
      </w:r>
      <w:r w:rsidRPr="00263791">
        <w:rPr>
          <w:rFonts w:ascii="Book Antiqua" w:hAnsi="Book Antiqua" w:cs="Times New Roman"/>
          <w:sz w:val="24"/>
          <w:szCs w:val="24"/>
          <w:lang w:val="en-US"/>
        </w:rPr>
        <w:t xml:space="preserve">how </w:t>
      </w:r>
      <w:r w:rsidR="008524EA">
        <w:rPr>
          <w:rFonts w:ascii="Book Antiqua" w:hAnsi="Book Antiqua" w:cs="Times New Roman"/>
          <w:sz w:val="24"/>
          <w:szCs w:val="24"/>
          <w:lang w:val="en-US"/>
        </w:rPr>
        <w:t xml:space="preserve">the incidences of </w:t>
      </w:r>
      <w:r w:rsidRPr="00263791">
        <w:rPr>
          <w:rFonts w:ascii="Book Antiqua" w:hAnsi="Book Antiqua" w:cs="Times New Roman"/>
          <w:sz w:val="24"/>
          <w:szCs w:val="24"/>
          <w:lang w:val="en-US"/>
        </w:rPr>
        <w:t xml:space="preserve">under-insurance </w:t>
      </w:r>
      <w:r w:rsidR="008524EA">
        <w:rPr>
          <w:rFonts w:ascii="Book Antiqua" w:hAnsi="Book Antiqua" w:cs="Times New Roman"/>
          <w:sz w:val="24"/>
          <w:szCs w:val="24"/>
          <w:lang w:val="en-US"/>
        </w:rPr>
        <w:t xml:space="preserve">on </w:t>
      </w:r>
      <w:r w:rsidRPr="00263791">
        <w:rPr>
          <w:rFonts w:ascii="Book Antiqua" w:hAnsi="Book Antiqua" w:cs="Times New Roman"/>
          <w:sz w:val="24"/>
          <w:szCs w:val="24"/>
          <w:lang w:val="en-US"/>
        </w:rPr>
        <w:t>mortgaged properties</w:t>
      </w:r>
      <w:r w:rsidR="008524EA">
        <w:rPr>
          <w:rFonts w:ascii="Book Antiqua" w:hAnsi="Book Antiqua" w:cs="Times New Roman"/>
          <w:sz w:val="24"/>
          <w:szCs w:val="24"/>
          <w:lang w:val="en-US"/>
        </w:rPr>
        <w:t xml:space="preserve"> could be suppressed</w:t>
      </w:r>
      <w:r w:rsidR="00974E63">
        <w:rPr>
          <w:rFonts w:ascii="Book Antiqua" w:hAnsi="Book Antiqua" w:cs="Times New Roman"/>
          <w:sz w:val="24"/>
          <w:szCs w:val="24"/>
          <w:lang w:val="en-US"/>
        </w:rPr>
        <w:t>.  The</w:t>
      </w:r>
      <w:r w:rsidRPr="00263791">
        <w:rPr>
          <w:rFonts w:ascii="Book Antiqua" w:hAnsi="Book Antiqua" w:cs="Times New Roman"/>
          <w:sz w:val="24"/>
          <w:szCs w:val="24"/>
          <w:lang w:val="en-US"/>
        </w:rPr>
        <w:t xml:space="preserve"> financial </w:t>
      </w:r>
      <w:r w:rsidRPr="00263791">
        <w:rPr>
          <w:rFonts w:ascii="Book Antiqua" w:hAnsi="Book Antiqua" w:cs="Times New Roman"/>
          <w:sz w:val="24"/>
          <w:szCs w:val="24"/>
          <w:lang w:val="en-US"/>
        </w:rPr>
        <w:lastRenderedPageBreak/>
        <w:t xml:space="preserve">distress </w:t>
      </w:r>
      <w:r w:rsidR="00974E63">
        <w:rPr>
          <w:rFonts w:ascii="Book Antiqua" w:hAnsi="Book Antiqua" w:cs="Times New Roman"/>
          <w:sz w:val="24"/>
          <w:szCs w:val="24"/>
          <w:lang w:val="en-US"/>
        </w:rPr>
        <w:t xml:space="preserve">from underinsurance can be particularly </w:t>
      </w:r>
      <w:r w:rsidRPr="00263791">
        <w:rPr>
          <w:rFonts w:ascii="Book Antiqua" w:hAnsi="Book Antiqua" w:cs="Times New Roman"/>
          <w:sz w:val="24"/>
          <w:szCs w:val="24"/>
          <w:lang w:val="en-US"/>
        </w:rPr>
        <w:t xml:space="preserve">acute when debt survives that has to be </w:t>
      </w:r>
      <w:r w:rsidR="00666F72" w:rsidRPr="00263791">
        <w:rPr>
          <w:rFonts w:ascii="Book Antiqua" w:hAnsi="Book Antiqua" w:cs="Times New Roman"/>
          <w:sz w:val="24"/>
          <w:szCs w:val="24"/>
          <w:lang w:val="en-US"/>
        </w:rPr>
        <w:t>repaid, despite</w:t>
      </w:r>
      <w:r w:rsidRPr="00263791">
        <w:rPr>
          <w:rFonts w:ascii="Book Antiqua" w:hAnsi="Book Antiqua" w:cs="Times New Roman"/>
          <w:sz w:val="24"/>
          <w:szCs w:val="24"/>
          <w:lang w:val="en-US"/>
        </w:rPr>
        <w:t xml:space="preserve"> major loss of the </w:t>
      </w:r>
      <w:r w:rsidR="00666F72" w:rsidRPr="00263791">
        <w:rPr>
          <w:rFonts w:ascii="Book Antiqua" w:hAnsi="Book Antiqua" w:cs="Times New Roman"/>
          <w:sz w:val="24"/>
          <w:szCs w:val="24"/>
          <w:lang w:val="en-US"/>
        </w:rPr>
        <w:t>physical asset</w:t>
      </w:r>
      <w:r w:rsidR="008524EA">
        <w:rPr>
          <w:rFonts w:ascii="Book Antiqua" w:hAnsi="Book Antiqua" w:cs="Times New Roman"/>
          <w:sz w:val="24"/>
          <w:szCs w:val="24"/>
          <w:lang w:val="en-US"/>
        </w:rPr>
        <w:t>s</w:t>
      </w:r>
      <w:r w:rsidR="00666F72" w:rsidRPr="00263791">
        <w:rPr>
          <w:rFonts w:ascii="Book Antiqua" w:hAnsi="Book Antiqua" w:cs="Times New Roman"/>
          <w:sz w:val="24"/>
          <w:szCs w:val="24"/>
          <w:lang w:val="en-US"/>
        </w:rPr>
        <w:t>.</w:t>
      </w:r>
      <w:r w:rsidRPr="00263791">
        <w:rPr>
          <w:rFonts w:ascii="Book Antiqua" w:hAnsi="Book Antiqua" w:cs="Times New Roman"/>
          <w:sz w:val="24"/>
          <w:szCs w:val="24"/>
          <w:lang w:val="en-US"/>
        </w:rPr>
        <w:t xml:space="preserve"> </w:t>
      </w:r>
    </w:p>
    <w:p w14:paraId="37062CE1" w14:textId="47D38619" w:rsidR="00F2401A" w:rsidRPr="00263791" w:rsidRDefault="00F2401A" w:rsidP="00AD0BF0">
      <w:pPr>
        <w:spacing w:line="360" w:lineRule="auto"/>
        <w:jc w:val="both"/>
        <w:rPr>
          <w:rFonts w:ascii="Book Antiqua" w:hAnsi="Book Antiqua" w:cs="Times New Roman"/>
          <w:sz w:val="24"/>
          <w:szCs w:val="24"/>
          <w:lang w:val="en-US"/>
        </w:rPr>
      </w:pPr>
      <w:r w:rsidRPr="00263791">
        <w:rPr>
          <w:rFonts w:ascii="Book Antiqua" w:hAnsi="Book Antiqua" w:cs="Times New Roman"/>
          <w:sz w:val="24"/>
          <w:szCs w:val="24"/>
          <w:lang w:val="en-US"/>
        </w:rPr>
        <w:t xml:space="preserve">For the business sector, affordable bridge financing will also have to be in </w:t>
      </w:r>
      <w:r w:rsidR="008524EA">
        <w:rPr>
          <w:rFonts w:ascii="Book Antiqua" w:hAnsi="Book Antiqua" w:cs="Times New Roman"/>
          <w:sz w:val="24"/>
          <w:szCs w:val="24"/>
          <w:lang w:val="en-US"/>
        </w:rPr>
        <w:t>greater</w:t>
      </w:r>
      <w:r w:rsidRPr="00263791">
        <w:rPr>
          <w:rFonts w:ascii="Book Antiqua" w:hAnsi="Book Antiqua" w:cs="Times New Roman"/>
          <w:sz w:val="24"/>
          <w:szCs w:val="24"/>
          <w:lang w:val="en-US"/>
        </w:rPr>
        <w:t xml:space="preserve"> abundance post-natural disasters.  The Central Bank is already committed to studying </w:t>
      </w:r>
      <w:r w:rsidR="006827EB">
        <w:rPr>
          <w:rFonts w:ascii="Book Antiqua" w:hAnsi="Book Antiqua" w:cs="Times New Roman"/>
          <w:sz w:val="24"/>
          <w:szCs w:val="24"/>
          <w:lang w:val="en-US"/>
        </w:rPr>
        <w:t>this</w:t>
      </w:r>
      <w:r w:rsidRPr="00263791">
        <w:rPr>
          <w:rFonts w:ascii="Book Antiqua" w:hAnsi="Book Antiqua" w:cs="Times New Roman"/>
          <w:sz w:val="24"/>
          <w:szCs w:val="24"/>
          <w:lang w:val="en-US"/>
        </w:rPr>
        <w:t xml:space="preserve"> issue </w:t>
      </w:r>
      <w:r w:rsidR="009047FA">
        <w:rPr>
          <w:rFonts w:ascii="Book Antiqua" w:hAnsi="Book Antiqua" w:cs="Times New Roman"/>
          <w:sz w:val="24"/>
          <w:szCs w:val="24"/>
          <w:lang w:val="en-US"/>
        </w:rPr>
        <w:t>of</w:t>
      </w:r>
      <w:r w:rsidR="00B31F77" w:rsidRPr="00263791">
        <w:rPr>
          <w:rFonts w:ascii="Book Antiqua" w:hAnsi="Book Antiqua" w:cs="Times New Roman"/>
          <w:sz w:val="24"/>
          <w:szCs w:val="24"/>
          <w:lang w:val="en-US"/>
        </w:rPr>
        <w:t xml:space="preserve"> how even larger volumes of resources can be </w:t>
      </w:r>
      <w:r w:rsidR="008524EA">
        <w:rPr>
          <w:rFonts w:ascii="Book Antiqua" w:hAnsi="Book Antiqua" w:cs="Times New Roman"/>
          <w:sz w:val="24"/>
          <w:szCs w:val="24"/>
          <w:lang w:val="en-US"/>
        </w:rPr>
        <w:t>accumulated for such purpose</w:t>
      </w:r>
      <w:r w:rsidR="000341E4">
        <w:rPr>
          <w:rFonts w:ascii="Book Antiqua" w:hAnsi="Book Antiqua" w:cs="Times New Roman"/>
          <w:sz w:val="24"/>
          <w:szCs w:val="24"/>
          <w:lang w:val="en-US"/>
        </w:rPr>
        <w:t>s</w:t>
      </w:r>
      <w:r w:rsidR="00B31F77" w:rsidRPr="00263791">
        <w:rPr>
          <w:rFonts w:ascii="Book Antiqua" w:hAnsi="Book Antiqua" w:cs="Times New Roman"/>
          <w:sz w:val="24"/>
          <w:szCs w:val="24"/>
          <w:lang w:val="en-US"/>
        </w:rPr>
        <w:t xml:space="preserve">. </w:t>
      </w:r>
      <w:r w:rsidR="008524EA">
        <w:rPr>
          <w:rFonts w:ascii="Book Antiqua" w:hAnsi="Book Antiqua" w:cs="Times New Roman"/>
          <w:sz w:val="24"/>
          <w:szCs w:val="24"/>
          <w:lang w:val="en-US"/>
        </w:rPr>
        <w:t xml:space="preserve"> Again, </w:t>
      </w:r>
      <w:r w:rsidR="000341E4">
        <w:rPr>
          <w:rFonts w:ascii="Book Antiqua" w:hAnsi="Book Antiqua" w:cs="Times New Roman"/>
          <w:sz w:val="24"/>
          <w:szCs w:val="24"/>
          <w:lang w:val="en-US"/>
        </w:rPr>
        <w:t>the outcome</w:t>
      </w:r>
      <w:r w:rsidR="008524EA">
        <w:rPr>
          <w:rFonts w:ascii="Book Antiqua" w:hAnsi="Book Antiqua" w:cs="Times New Roman"/>
          <w:sz w:val="24"/>
          <w:szCs w:val="24"/>
          <w:lang w:val="en-US"/>
        </w:rPr>
        <w:t xml:space="preserve"> is likely to target</w:t>
      </w:r>
      <w:r w:rsidR="00B31F77" w:rsidRPr="00263791">
        <w:rPr>
          <w:rFonts w:ascii="Book Antiqua" w:hAnsi="Book Antiqua" w:cs="Times New Roman"/>
          <w:sz w:val="24"/>
          <w:szCs w:val="24"/>
          <w:lang w:val="en-US"/>
        </w:rPr>
        <w:t xml:space="preserve"> savings in </w:t>
      </w:r>
      <w:r w:rsidR="008524EA">
        <w:rPr>
          <w:rFonts w:ascii="Book Antiqua" w:hAnsi="Book Antiqua" w:cs="Times New Roman"/>
          <w:sz w:val="24"/>
          <w:szCs w:val="24"/>
          <w:lang w:val="en-US"/>
        </w:rPr>
        <w:t>funds</w:t>
      </w:r>
      <w:r w:rsidR="00B31F77" w:rsidRPr="00263791">
        <w:rPr>
          <w:rFonts w:ascii="Book Antiqua" w:hAnsi="Book Antiqua" w:cs="Times New Roman"/>
          <w:sz w:val="24"/>
          <w:szCs w:val="24"/>
          <w:lang w:val="en-US"/>
        </w:rPr>
        <w:t xml:space="preserve"> that </w:t>
      </w:r>
      <w:r w:rsidR="008524EA">
        <w:rPr>
          <w:rFonts w:ascii="Book Antiqua" w:hAnsi="Book Antiqua" w:cs="Times New Roman"/>
          <w:sz w:val="24"/>
          <w:szCs w:val="24"/>
          <w:lang w:val="en-US"/>
        </w:rPr>
        <w:t xml:space="preserve">are </w:t>
      </w:r>
      <w:r w:rsidR="00B31F77" w:rsidRPr="00263791">
        <w:rPr>
          <w:rFonts w:ascii="Book Antiqua" w:hAnsi="Book Antiqua" w:cs="Times New Roman"/>
          <w:sz w:val="24"/>
          <w:szCs w:val="24"/>
          <w:lang w:val="en-US"/>
        </w:rPr>
        <w:t>only accessible for lower cost financing after natural disasters.</w:t>
      </w:r>
    </w:p>
    <w:p w14:paraId="7F64BCD8" w14:textId="4D38E2D2" w:rsidR="00F71EFB" w:rsidRPr="00B4523E" w:rsidRDefault="0011636E" w:rsidP="000F331F">
      <w:pPr>
        <w:pStyle w:val="Heading2"/>
      </w:pPr>
      <w:r w:rsidRPr="00B4523E">
        <w:t>Enhancing Financial Resilience Through Technology</w:t>
      </w:r>
    </w:p>
    <w:p w14:paraId="12B60D0D" w14:textId="590568A8" w:rsidR="0011636E" w:rsidRPr="00B4523E" w:rsidRDefault="00666F72" w:rsidP="00B4523E">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Moving from households to financial institutions</w:t>
      </w:r>
      <w:r w:rsidR="006C3D92">
        <w:rPr>
          <w:rFonts w:ascii="Book Antiqua" w:hAnsi="Book Antiqua" w:cs="Times New Roman"/>
          <w:sz w:val="24"/>
          <w:szCs w:val="24"/>
          <w:lang w:val="en-US"/>
        </w:rPr>
        <w:t>,</w:t>
      </w:r>
      <w:r>
        <w:rPr>
          <w:rFonts w:ascii="Book Antiqua" w:hAnsi="Book Antiqua" w:cs="Times New Roman"/>
          <w:sz w:val="24"/>
          <w:szCs w:val="24"/>
          <w:lang w:val="en-US"/>
        </w:rPr>
        <w:t xml:space="preserve"> </w:t>
      </w:r>
      <w:r w:rsidR="006C3D92">
        <w:rPr>
          <w:rFonts w:ascii="Book Antiqua" w:hAnsi="Book Antiqua" w:cs="Times New Roman"/>
          <w:sz w:val="24"/>
          <w:szCs w:val="24"/>
          <w:lang w:val="en-US"/>
        </w:rPr>
        <w:t>t</w:t>
      </w:r>
      <w:r w:rsidR="000B1637" w:rsidRPr="00B4523E">
        <w:rPr>
          <w:rFonts w:ascii="Book Antiqua" w:hAnsi="Book Antiqua" w:cs="Times New Roman"/>
          <w:sz w:val="24"/>
          <w:szCs w:val="24"/>
          <w:lang w:val="en-US"/>
        </w:rPr>
        <w:t>echnolog</w:t>
      </w:r>
      <w:r w:rsidR="006C3D92">
        <w:rPr>
          <w:rFonts w:ascii="Book Antiqua" w:hAnsi="Book Antiqua" w:cs="Times New Roman"/>
          <w:sz w:val="24"/>
          <w:szCs w:val="24"/>
          <w:lang w:val="en-US"/>
        </w:rPr>
        <w:t>y will have to feature more prominently in our resilience and recovery plan</w:t>
      </w:r>
      <w:r w:rsidR="008524EA">
        <w:rPr>
          <w:rFonts w:ascii="Book Antiqua" w:hAnsi="Book Antiqua" w:cs="Times New Roman"/>
          <w:sz w:val="24"/>
          <w:szCs w:val="24"/>
          <w:lang w:val="en-US"/>
        </w:rPr>
        <w:t xml:space="preserve">.  Indeed the </w:t>
      </w:r>
      <w:r w:rsidR="006C3D92">
        <w:rPr>
          <w:rFonts w:ascii="Book Antiqua" w:hAnsi="Book Antiqua" w:cs="Times New Roman"/>
          <w:sz w:val="24"/>
          <w:szCs w:val="24"/>
          <w:lang w:val="en-US"/>
        </w:rPr>
        <w:t xml:space="preserve">recovery of access to </w:t>
      </w:r>
      <w:r w:rsidR="005A13BE">
        <w:rPr>
          <w:rFonts w:ascii="Book Antiqua" w:hAnsi="Book Antiqua" w:cs="Times New Roman"/>
          <w:sz w:val="24"/>
          <w:szCs w:val="24"/>
          <w:lang w:val="en-US"/>
        </w:rPr>
        <w:t>financial services</w:t>
      </w:r>
      <w:r w:rsidR="006C3D92">
        <w:rPr>
          <w:rFonts w:ascii="Book Antiqua" w:hAnsi="Book Antiqua" w:cs="Times New Roman"/>
          <w:sz w:val="24"/>
          <w:szCs w:val="24"/>
          <w:lang w:val="en-US"/>
        </w:rPr>
        <w:t xml:space="preserve"> </w:t>
      </w:r>
      <w:r w:rsidR="008524EA">
        <w:rPr>
          <w:rFonts w:ascii="Book Antiqua" w:hAnsi="Book Antiqua" w:cs="Times New Roman"/>
          <w:sz w:val="24"/>
          <w:szCs w:val="24"/>
          <w:lang w:val="en-US"/>
        </w:rPr>
        <w:t xml:space="preserve">is </w:t>
      </w:r>
      <w:r w:rsidR="006C3D92">
        <w:rPr>
          <w:rFonts w:ascii="Book Antiqua" w:hAnsi="Book Antiqua" w:cs="Times New Roman"/>
          <w:sz w:val="24"/>
          <w:szCs w:val="24"/>
          <w:lang w:val="en-US"/>
        </w:rPr>
        <w:t>vital to restart</w:t>
      </w:r>
      <w:r w:rsidR="008524EA">
        <w:rPr>
          <w:rFonts w:ascii="Book Antiqua" w:hAnsi="Book Antiqua" w:cs="Times New Roman"/>
          <w:sz w:val="24"/>
          <w:szCs w:val="24"/>
          <w:lang w:val="en-US"/>
        </w:rPr>
        <w:t>ing</w:t>
      </w:r>
      <w:r w:rsidR="006C3D92">
        <w:rPr>
          <w:rFonts w:ascii="Book Antiqua" w:hAnsi="Book Antiqua" w:cs="Times New Roman"/>
          <w:sz w:val="24"/>
          <w:szCs w:val="24"/>
          <w:lang w:val="en-US"/>
        </w:rPr>
        <w:t xml:space="preserve"> commercial </w:t>
      </w:r>
      <w:r w:rsidR="005A13BE">
        <w:rPr>
          <w:rFonts w:ascii="Book Antiqua" w:hAnsi="Book Antiqua" w:cs="Times New Roman"/>
          <w:sz w:val="24"/>
          <w:szCs w:val="24"/>
          <w:lang w:val="en-US"/>
        </w:rPr>
        <w:t>activities</w:t>
      </w:r>
      <w:r w:rsidR="006C3D92">
        <w:rPr>
          <w:rFonts w:ascii="Book Antiqua" w:hAnsi="Book Antiqua" w:cs="Times New Roman"/>
          <w:sz w:val="24"/>
          <w:szCs w:val="24"/>
          <w:lang w:val="en-US"/>
        </w:rPr>
        <w:t>.</w:t>
      </w:r>
      <w:r w:rsidR="00DF46E0">
        <w:rPr>
          <w:rFonts w:ascii="Book Antiqua" w:hAnsi="Book Antiqua" w:cs="Times New Roman"/>
          <w:sz w:val="24"/>
          <w:szCs w:val="24"/>
          <w:lang w:val="en-US"/>
        </w:rPr>
        <w:t xml:space="preserve">  </w:t>
      </w:r>
      <w:r w:rsidR="008524EA">
        <w:rPr>
          <w:rFonts w:ascii="Book Antiqua" w:hAnsi="Book Antiqua" w:cs="Times New Roman"/>
          <w:sz w:val="24"/>
          <w:szCs w:val="24"/>
          <w:lang w:val="en-US"/>
        </w:rPr>
        <w:t>P</w:t>
      </w:r>
      <w:r w:rsidR="005A13BE">
        <w:rPr>
          <w:rFonts w:ascii="Book Antiqua" w:hAnsi="Book Antiqua" w:cs="Times New Roman"/>
          <w:sz w:val="24"/>
          <w:szCs w:val="24"/>
          <w:lang w:val="en-US"/>
        </w:rPr>
        <w:t>ayments services have to be present for businesses to operate</w:t>
      </w:r>
      <w:r w:rsidR="00040533">
        <w:rPr>
          <w:rFonts w:ascii="Book Antiqua" w:hAnsi="Book Antiqua" w:cs="Times New Roman"/>
          <w:sz w:val="24"/>
          <w:szCs w:val="24"/>
          <w:lang w:val="en-US"/>
        </w:rPr>
        <w:t>;</w:t>
      </w:r>
      <w:r w:rsidR="005A13BE">
        <w:rPr>
          <w:rFonts w:ascii="Book Antiqua" w:hAnsi="Book Antiqua" w:cs="Times New Roman"/>
          <w:sz w:val="24"/>
          <w:szCs w:val="24"/>
          <w:lang w:val="en-US"/>
        </w:rPr>
        <w:t xml:space="preserve"> for the </w:t>
      </w:r>
      <w:r w:rsidR="00D070BC">
        <w:rPr>
          <w:rFonts w:ascii="Book Antiqua" w:hAnsi="Book Antiqua" w:cs="Times New Roman"/>
          <w:sz w:val="24"/>
          <w:szCs w:val="24"/>
          <w:lang w:val="en-US"/>
        </w:rPr>
        <w:t>g</w:t>
      </w:r>
      <w:r w:rsidR="005A13BE">
        <w:rPr>
          <w:rFonts w:ascii="Book Antiqua" w:hAnsi="Book Antiqua" w:cs="Times New Roman"/>
          <w:sz w:val="24"/>
          <w:szCs w:val="24"/>
          <w:lang w:val="en-US"/>
        </w:rPr>
        <w:t xml:space="preserve">overnment and aid agencies </w:t>
      </w:r>
      <w:r w:rsidR="00040533">
        <w:rPr>
          <w:rFonts w:ascii="Book Antiqua" w:hAnsi="Book Antiqua" w:cs="Times New Roman"/>
          <w:sz w:val="24"/>
          <w:szCs w:val="24"/>
          <w:lang w:val="en-US"/>
        </w:rPr>
        <w:t xml:space="preserve">to effectively </w:t>
      </w:r>
      <w:r w:rsidR="005A13BE">
        <w:rPr>
          <w:rFonts w:ascii="Book Antiqua" w:hAnsi="Book Antiqua" w:cs="Times New Roman"/>
          <w:sz w:val="24"/>
          <w:szCs w:val="24"/>
          <w:lang w:val="en-US"/>
        </w:rPr>
        <w:t xml:space="preserve">dispense financial assistance, and even to make use of early </w:t>
      </w:r>
      <w:r w:rsidR="009D169B">
        <w:rPr>
          <w:rFonts w:ascii="Book Antiqua" w:hAnsi="Book Antiqua" w:cs="Times New Roman"/>
          <w:sz w:val="24"/>
          <w:szCs w:val="24"/>
          <w:lang w:val="en-US"/>
        </w:rPr>
        <w:t xml:space="preserve">payouts </w:t>
      </w:r>
      <w:r w:rsidR="005A13BE">
        <w:rPr>
          <w:rFonts w:ascii="Book Antiqua" w:hAnsi="Book Antiqua" w:cs="Times New Roman"/>
          <w:sz w:val="24"/>
          <w:szCs w:val="24"/>
          <w:lang w:val="en-US"/>
        </w:rPr>
        <w:t>from insurance policies.  At present</w:t>
      </w:r>
      <w:r w:rsidR="00040533">
        <w:rPr>
          <w:rFonts w:ascii="Book Antiqua" w:hAnsi="Book Antiqua" w:cs="Times New Roman"/>
          <w:sz w:val="24"/>
          <w:szCs w:val="24"/>
          <w:lang w:val="en-US"/>
        </w:rPr>
        <w:t>,</w:t>
      </w:r>
      <w:r w:rsidR="005A13BE">
        <w:rPr>
          <w:rFonts w:ascii="Book Antiqua" w:hAnsi="Book Antiqua" w:cs="Times New Roman"/>
          <w:sz w:val="24"/>
          <w:szCs w:val="24"/>
          <w:lang w:val="en-US"/>
        </w:rPr>
        <w:t xml:space="preserve"> there is still too much dependence on cash handling services</w:t>
      </w:r>
      <w:r w:rsidR="00D070BC">
        <w:rPr>
          <w:rFonts w:ascii="Book Antiqua" w:hAnsi="Book Antiqua" w:cs="Times New Roman"/>
          <w:sz w:val="24"/>
          <w:szCs w:val="24"/>
          <w:lang w:val="en-US"/>
        </w:rPr>
        <w:t xml:space="preserve"> </w:t>
      </w:r>
      <w:r w:rsidR="005A13BE">
        <w:rPr>
          <w:rFonts w:ascii="Book Antiqua" w:hAnsi="Book Antiqua" w:cs="Times New Roman"/>
          <w:sz w:val="24"/>
          <w:szCs w:val="24"/>
          <w:lang w:val="en-US"/>
        </w:rPr>
        <w:t xml:space="preserve">and therefore commerce </w:t>
      </w:r>
      <w:r w:rsidR="00CD5CE7">
        <w:rPr>
          <w:rFonts w:ascii="Book Antiqua" w:hAnsi="Book Antiqua" w:cs="Times New Roman"/>
          <w:sz w:val="24"/>
          <w:szCs w:val="24"/>
          <w:lang w:val="en-US"/>
        </w:rPr>
        <w:t>is only able</w:t>
      </w:r>
      <w:r w:rsidR="005A13BE">
        <w:rPr>
          <w:rFonts w:ascii="Book Antiqua" w:hAnsi="Book Antiqua" w:cs="Times New Roman"/>
          <w:sz w:val="24"/>
          <w:szCs w:val="24"/>
          <w:lang w:val="en-US"/>
        </w:rPr>
        <w:t xml:space="preserve"> recover clumsily, </w:t>
      </w:r>
      <w:r w:rsidR="00E55C1E">
        <w:rPr>
          <w:rFonts w:ascii="Book Antiqua" w:hAnsi="Book Antiqua" w:cs="Times New Roman"/>
          <w:sz w:val="24"/>
          <w:szCs w:val="24"/>
          <w:lang w:val="en-US"/>
        </w:rPr>
        <w:t>when</w:t>
      </w:r>
      <w:r w:rsidR="005A13BE">
        <w:rPr>
          <w:rFonts w:ascii="Book Antiqua" w:hAnsi="Book Antiqua" w:cs="Times New Roman"/>
          <w:sz w:val="24"/>
          <w:szCs w:val="24"/>
          <w:lang w:val="en-US"/>
        </w:rPr>
        <w:t xml:space="preserve"> the </w:t>
      </w:r>
      <w:r w:rsidR="00E55C1E">
        <w:rPr>
          <w:rFonts w:ascii="Book Antiqua" w:hAnsi="Book Antiqua" w:cs="Times New Roman"/>
          <w:sz w:val="24"/>
          <w:szCs w:val="24"/>
          <w:lang w:val="en-US"/>
        </w:rPr>
        <w:t xml:space="preserve">physical </w:t>
      </w:r>
      <w:r w:rsidR="005A13BE">
        <w:rPr>
          <w:rFonts w:ascii="Book Antiqua" w:hAnsi="Book Antiqua" w:cs="Times New Roman"/>
          <w:sz w:val="24"/>
          <w:szCs w:val="24"/>
          <w:lang w:val="en-US"/>
        </w:rPr>
        <w:t xml:space="preserve">support that banks provide </w:t>
      </w:r>
      <w:r w:rsidR="00040533">
        <w:rPr>
          <w:rFonts w:ascii="Book Antiqua" w:hAnsi="Book Antiqua" w:cs="Times New Roman"/>
          <w:sz w:val="24"/>
          <w:szCs w:val="24"/>
          <w:lang w:val="en-US"/>
        </w:rPr>
        <w:t>is</w:t>
      </w:r>
      <w:r w:rsidR="005A13BE">
        <w:rPr>
          <w:rFonts w:ascii="Book Antiqua" w:hAnsi="Book Antiqua" w:cs="Times New Roman"/>
          <w:sz w:val="24"/>
          <w:szCs w:val="24"/>
          <w:lang w:val="en-US"/>
        </w:rPr>
        <w:t xml:space="preserve"> missing or hampered.</w:t>
      </w:r>
    </w:p>
    <w:p w14:paraId="684CFCF0" w14:textId="4FF86712" w:rsidR="00291767" w:rsidRDefault="005A13BE" w:rsidP="00B4523E">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 xml:space="preserve">Fully accessible and enabled digital mobile payments </w:t>
      </w:r>
      <w:r w:rsidR="004310DC">
        <w:rPr>
          <w:rFonts w:ascii="Book Antiqua" w:hAnsi="Book Antiqua" w:cs="Times New Roman"/>
          <w:sz w:val="24"/>
          <w:szCs w:val="24"/>
          <w:lang w:val="en-US"/>
        </w:rPr>
        <w:t xml:space="preserve">would </w:t>
      </w:r>
      <w:r>
        <w:rPr>
          <w:rFonts w:ascii="Book Antiqua" w:hAnsi="Book Antiqua" w:cs="Times New Roman"/>
          <w:sz w:val="24"/>
          <w:szCs w:val="24"/>
          <w:lang w:val="en-US"/>
        </w:rPr>
        <w:t xml:space="preserve">resolve many logistical challenges at once.  Project Sand Dollar </w:t>
      </w:r>
      <w:r w:rsidR="00040533">
        <w:rPr>
          <w:rFonts w:ascii="Book Antiqua" w:hAnsi="Book Antiqua" w:cs="Times New Roman"/>
          <w:sz w:val="24"/>
          <w:szCs w:val="24"/>
          <w:lang w:val="en-US"/>
        </w:rPr>
        <w:t xml:space="preserve">has the potential to </w:t>
      </w:r>
      <w:r>
        <w:rPr>
          <w:rFonts w:ascii="Book Antiqua" w:hAnsi="Book Antiqua" w:cs="Times New Roman"/>
          <w:sz w:val="24"/>
          <w:szCs w:val="24"/>
          <w:lang w:val="en-US"/>
        </w:rPr>
        <w:t>deliver this longer</w:t>
      </w:r>
      <w:r w:rsidR="00040533">
        <w:rPr>
          <w:rFonts w:ascii="Book Antiqua" w:hAnsi="Book Antiqua" w:cs="Times New Roman"/>
          <w:sz w:val="24"/>
          <w:szCs w:val="24"/>
          <w:lang w:val="en-US"/>
        </w:rPr>
        <w:t>-</w:t>
      </w:r>
      <w:r>
        <w:rPr>
          <w:rFonts w:ascii="Book Antiqua" w:hAnsi="Book Antiqua" w:cs="Times New Roman"/>
          <w:sz w:val="24"/>
          <w:szCs w:val="24"/>
          <w:lang w:val="en-US"/>
        </w:rPr>
        <w:t>term resilience</w:t>
      </w:r>
      <w:r w:rsidR="00040533">
        <w:rPr>
          <w:rFonts w:ascii="Book Antiqua" w:hAnsi="Book Antiqua" w:cs="Times New Roman"/>
          <w:sz w:val="24"/>
          <w:szCs w:val="24"/>
          <w:lang w:val="en-US"/>
        </w:rPr>
        <w:t xml:space="preserve">.  It would permit </w:t>
      </w:r>
      <w:r>
        <w:rPr>
          <w:rFonts w:ascii="Book Antiqua" w:hAnsi="Book Antiqua" w:cs="Times New Roman"/>
          <w:sz w:val="24"/>
          <w:szCs w:val="24"/>
          <w:lang w:val="en-US"/>
        </w:rPr>
        <w:t>wireless restoration of payments connectively</w:t>
      </w:r>
      <w:r w:rsidR="00040533">
        <w:rPr>
          <w:rFonts w:ascii="Book Antiqua" w:hAnsi="Book Antiqua" w:cs="Times New Roman"/>
          <w:sz w:val="24"/>
          <w:szCs w:val="24"/>
          <w:lang w:val="en-US"/>
        </w:rPr>
        <w:t>,</w:t>
      </w:r>
      <w:r>
        <w:rPr>
          <w:rFonts w:ascii="Book Antiqua" w:hAnsi="Book Antiqua" w:cs="Times New Roman"/>
          <w:sz w:val="24"/>
          <w:szCs w:val="24"/>
          <w:lang w:val="en-US"/>
        </w:rPr>
        <w:t xml:space="preserve"> </w:t>
      </w:r>
      <w:r w:rsidR="00040533">
        <w:rPr>
          <w:rFonts w:ascii="Book Antiqua" w:hAnsi="Book Antiqua" w:cs="Times New Roman"/>
          <w:sz w:val="24"/>
          <w:szCs w:val="24"/>
          <w:lang w:val="en-US"/>
        </w:rPr>
        <w:t>avoiding</w:t>
      </w:r>
      <w:r>
        <w:rPr>
          <w:rFonts w:ascii="Book Antiqua" w:hAnsi="Book Antiqua" w:cs="Times New Roman"/>
          <w:sz w:val="24"/>
          <w:szCs w:val="24"/>
          <w:lang w:val="en-US"/>
        </w:rPr>
        <w:t xml:space="preserve"> the cash shipment and cash handling frustrations.  </w:t>
      </w:r>
      <w:r w:rsidR="00291767">
        <w:rPr>
          <w:rFonts w:ascii="Book Antiqua" w:hAnsi="Book Antiqua" w:cs="Times New Roman"/>
          <w:sz w:val="24"/>
          <w:szCs w:val="24"/>
          <w:lang w:val="en-US"/>
        </w:rPr>
        <w:t xml:space="preserve">It </w:t>
      </w:r>
      <w:r w:rsidR="00040533">
        <w:rPr>
          <w:rFonts w:ascii="Book Antiqua" w:hAnsi="Book Antiqua" w:cs="Times New Roman"/>
          <w:sz w:val="24"/>
          <w:szCs w:val="24"/>
          <w:lang w:val="en-US"/>
        </w:rPr>
        <w:t>would permit electronic dispersing of aid;</w:t>
      </w:r>
      <w:r w:rsidR="00291767">
        <w:rPr>
          <w:rFonts w:ascii="Book Antiqua" w:hAnsi="Book Antiqua" w:cs="Times New Roman"/>
          <w:sz w:val="24"/>
          <w:szCs w:val="24"/>
          <w:lang w:val="en-US"/>
        </w:rPr>
        <w:t xml:space="preserve"> and </w:t>
      </w:r>
      <w:r w:rsidR="00040533">
        <w:rPr>
          <w:rFonts w:ascii="Book Antiqua" w:hAnsi="Book Antiqua" w:cs="Times New Roman"/>
          <w:sz w:val="24"/>
          <w:szCs w:val="24"/>
          <w:lang w:val="en-US"/>
        </w:rPr>
        <w:t xml:space="preserve">allow families to </w:t>
      </w:r>
      <w:r w:rsidR="00291767">
        <w:rPr>
          <w:rFonts w:ascii="Book Antiqua" w:hAnsi="Book Antiqua" w:cs="Times New Roman"/>
          <w:sz w:val="24"/>
          <w:szCs w:val="24"/>
          <w:lang w:val="en-US"/>
        </w:rPr>
        <w:t xml:space="preserve">recapture personal dignity, by restoring the flexibility to prioritise the elements of personal need that </w:t>
      </w:r>
      <w:r w:rsidR="00040533">
        <w:rPr>
          <w:rFonts w:ascii="Book Antiqua" w:hAnsi="Book Antiqua" w:cs="Times New Roman"/>
          <w:sz w:val="24"/>
          <w:szCs w:val="24"/>
          <w:lang w:val="en-US"/>
        </w:rPr>
        <w:t xml:space="preserve">they </w:t>
      </w:r>
      <w:r w:rsidR="003511FB">
        <w:rPr>
          <w:rFonts w:ascii="Book Antiqua" w:hAnsi="Book Antiqua" w:cs="Times New Roman"/>
          <w:sz w:val="24"/>
          <w:szCs w:val="24"/>
          <w:lang w:val="en-US"/>
        </w:rPr>
        <w:t xml:space="preserve">prefer to </w:t>
      </w:r>
      <w:r w:rsidR="00040533">
        <w:rPr>
          <w:rFonts w:ascii="Book Antiqua" w:hAnsi="Book Antiqua" w:cs="Times New Roman"/>
          <w:sz w:val="24"/>
          <w:szCs w:val="24"/>
          <w:lang w:val="en-US"/>
        </w:rPr>
        <w:t>satisfy post-disaster</w:t>
      </w:r>
      <w:r w:rsidR="003511FB">
        <w:rPr>
          <w:rFonts w:ascii="Book Antiqua" w:hAnsi="Book Antiqua" w:cs="Times New Roman"/>
          <w:sz w:val="24"/>
          <w:szCs w:val="24"/>
          <w:lang w:val="en-US"/>
        </w:rPr>
        <w:t>s</w:t>
      </w:r>
      <w:r w:rsidR="00040533">
        <w:rPr>
          <w:rFonts w:ascii="Book Antiqua" w:hAnsi="Book Antiqua" w:cs="Times New Roman"/>
          <w:sz w:val="24"/>
          <w:szCs w:val="24"/>
          <w:lang w:val="en-US"/>
        </w:rPr>
        <w:t>.</w:t>
      </w:r>
    </w:p>
    <w:p w14:paraId="3CAF011A" w14:textId="0469ACD6" w:rsidR="00291767" w:rsidRDefault="00772CDC" w:rsidP="00B4523E">
      <w:pPr>
        <w:spacing w:line="360" w:lineRule="auto"/>
        <w:jc w:val="both"/>
        <w:rPr>
          <w:rFonts w:ascii="Book Antiqua" w:hAnsi="Book Antiqua" w:cs="Times New Roman"/>
          <w:sz w:val="24"/>
          <w:szCs w:val="24"/>
          <w:lang w:val="en-US"/>
        </w:rPr>
      </w:pPr>
      <w:r w:rsidRPr="00B4523E">
        <w:rPr>
          <w:rFonts w:ascii="Book Antiqua" w:hAnsi="Book Antiqua" w:cs="Times New Roman"/>
          <w:sz w:val="24"/>
          <w:szCs w:val="24"/>
          <w:lang w:val="en-US"/>
        </w:rPr>
        <w:t xml:space="preserve">One of the </w:t>
      </w:r>
      <w:r w:rsidR="00E655D9">
        <w:rPr>
          <w:rFonts w:ascii="Book Antiqua" w:hAnsi="Book Antiqua" w:cs="Times New Roman"/>
          <w:sz w:val="24"/>
          <w:szCs w:val="24"/>
          <w:lang w:val="en-US"/>
        </w:rPr>
        <w:t>impacts</w:t>
      </w:r>
      <w:r w:rsidRPr="00B4523E">
        <w:rPr>
          <w:rFonts w:ascii="Book Antiqua" w:hAnsi="Book Antiqua" w:cs="Times New Roman"/>
          <w:sz w:val="24"/>
          <w:szCs w:val="24"/>
          <w:lang w:val="en-US"/>
        </w:rPr>
        <w:t xml:space="preserve"> of the recent hurricane on the country’s banking sector was the </w:t>
      </w:r>
      <w:r w:rsidR="004A2C37" w:rsidRPr="00B4523E">
        <w:rPr>
          <w:rFonts w:ascii="Book Antiqua" w:hAnsi="Book Antiqua" w:cs="Times New Roman"/>
          <w:sz w:val="24"/>
          <w:szCs w:val="24"/>
          <w:lang w:val="en-US"/>
        </w:rPr>
        <w:t xml:space="preserve">significant damage to physical structures in Abaco and Grand Bahama, which also </w:t>
      </w:r>
      <w:r w:rsidR="00291767">
        <w:rPr>
          <w:rFonts w:ascii="Book Antiqua" w:hAnsi="Book Antiqua" w:cs="Times New Roman"/>
          <w:sz w:val="24"/>
          <w:szCs w:val="24"/>
          <w:lang w:val="en-US"/>
        </w:rPr>
        <w:t>shut down</w:t>
      </w:r>
      <w:r w:rsidR="004A2C37" w:rsidRPr="00B4523E">
        <w:rPr>
          <w:rFonts w:ascii="Book Antiqua" w:hAnsi="Book Antiqua" w:cs="Times New Roman"/>
          <w:sz w:val="24"/>
          <w:szCs w:val="24"/>
          <w:lang w:val="en-US"/>
        </w:rPr>
        <w:t xml:space="preserve"> operations on those islands.</w:t>
      </w:r>
      <w:r w:rsidR="00024D50" w:rsidRPr="00B4523E">
        <w:rPr>
          <w:rFonts w:ascii="Book Antiqua" w:hAnsi="Book Antiqua" w:cs="Times New Roman"/>
          <w:sz w:val="24"/>
          <w:szCs w:val="24"/>
          <w:lang w:val="en-US"/>
        </w:rPr>
        <w:t xml:space="preserve">  Critical to restoring </w:t>
      </w:r>
      <w:r w:rsidR="002E1DAC">
        <w:rPr>
          <w:rFonts w:ascii="Book Antiqua" w:hAnsi="Book Antiqua" w:cs="Times New Roman"/>
          <w:sz w:val="24"/>
          <w:szCs w:val="24"/>
          <w:lang w:val="en-US"/>
        </w:rPr>
        <w:t xml:space="preserve">a </w:t>
      </w:r>
      <w:r w:rsidR="00E1168B">
        <w:rPr>
          <w:rFonts w:ascii="Book Antiqua" w:hAnsi="Book Antiqua" w:cs="Times New Roman"/>
          <w:sz w:val="24"/>
          <w:szCs w:val="24"/>
          <w:lang w:val="en-US"/>
        </w:rPr>
        <w:t>sense of commerce</w:t>
      </w:r>
      <w:r w:rsidR="00024D50" w:rsidRPr="00B4523E">
        <w:rPr>
          <w:rFonts w:ascii="Book Antiqua" w:hAnsi="Book Antiqua" w:cs="Times New Roman"/>
          <w:sz w:val="24"/>
          <w:szCs w:val="24"/>
          <w:lang w:val="en-US"/>
        </w:rPr>
        <w:t xml:space="preserve"> is the timely resumption of banking </w:t>
      </w:r>
      <w:r w:rsidR="00334EC1">
        <w:rPr>
          <w:rFonts w:ascii="Book Antiqua" w:hAnsi="Book Antiqua" w:cs="Times New Roman"/>
          <w:sz w:val="24"/>
          <w:szCs w:val="24"/>
          <w:lang w:val="en-US"/>
        </w:rPr>
        <w:t>and</w:t>
      </w:r>
      <w:r w:rsidR="00024D50" w:rsidRPr="00B4523E">
        <w:rPr>
          <w:rFonts w:ascii="Book Antiqua" w:hAnsi="Book Antiqua" w:cs="Times New Roman"/>
          <w:sz w:val="24"/>
          <w:szCs w:val="24"/>
          <w:lang w:val="en-US"/>
        </w:rPr>
        <w:t xml:space="preserve"> payments systems.</w:t>
      </w:r>
    </w:p>
    <w:p w14:paraId="134FBD1E" w14:textId="7A46A08D" w:rsidR="00291767" w:rsidRDefault="00291767" w:rsidP="00B4523E">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For this reason</w:t>
      </w:r>
      <w:r w:rsidR="00040533">
        <w:rPr>
          <w:rFonts w:ascii="Book Antiqua" w:hAnsi="Book Antiqua" w:cs="Times New Roman"/>
          <w:sz w:val="24"/>
          <w:szCs w:val="24"/>
          <w:lang w:val="en-US"/>
        </w:rPr>
        <w:t>,</w:t>
      </w:r>
      <w:r>
        <w:rPr>
          <w:rFonts w:ascii="Book Antiqua" w:hAnsi="Book Antiqua" w:cs="Times New Roman"/>
          <w:sz w:val="24"/>
          <w:szCs w:val="24"/>
          <w:lang w:val="en-US"/>
        </w:rPr>
        <w:t xml:space="preserve"> </w:t>
      </w:r>
      <w:r w:rsidR="00040533">
        <w:rPr>
          <w:rFonts w:ascii="Book Antiqua" w:hAnsi="Book Antiqua" w:cs="Times New Roman"/>
          <w:sz w:val="24"/>
          <w:szCs w:val="24"/>
          <w:lang w:val="en-US"/>
        </w:rPr>
        <w:t>the Central Bank is</w:t>
      </w:r>
      <w:r>
        <w:rPr>
          <w:rFonts w:ascii="Book Antiqua" w:hAnsi="Book Antiqua" w:cs="Times New Roman"/>
          <w:sz w:val="24"/>
          <w:szCs w:val="24"/>
          <w:lang w:val="en-US"/>
        </w:rPr>
        <w:t xml:space="preserve"> exploring an early entry of Project Sand Dollar into Abaco.</w:t>
      </w:r>
      <w:r w:rsidR="007C5DC6">
        <w:rPr>
          <w:rFonts w:ascii="Book Antiqua" w:hAnsi="Book Antiqua" w:cs="Times New Roman"/>
          <w:sz w:val="24"/>
          <w:szCs w:val="24"/>
          <w:lang w:val="en-US"/>
        </w:rPr>
        <w:t xml:space="preserve"> </w:t>
      </w:r>
      <w:r>
        <w:rPr>
          <w:rFonts w:ascii="Book Antiqua" w:hAnsi="Book Antiqua" w:cs="Times New Roman"/>
          <w:sz w:val="24"/>
          <w:szCs w:val="24"/>
          <w:lang w:val="en-US"/>
        </w:rPr>
        <w:t xml:space="preserve">It will allow </w:t>
      </w:r>
      <w:r w:rsidR="00E27325">
        <w:rPr>
          <w:rFonts w:ascii="Book Antiqua" w:hAnsi="Book Antiqua" w:cs="Times New Roman"/>
          <w:sz w:val="24"/>
          <w:szCs w:val="24"/>
          <w:lang w:val="en-US"/>
        </w:rPr>
        <w:t>the Bank</w:t>
      </w:r>
      <w:r>
        <w:rPr>
          <w:rFonts w:ascii="Book Antiqua" w:hAnsi="Book Antiqua" w:cs="Times New Roman"/>
          <w:sz w:val="24"/>
          <w:szCs w:val="24"/>
          <w:lang w:val="en-US"/>
        </w:rPr>
        <w:t xml:space="preserve"> to test aspects of the emergency wireless </w:t>
      </w:r>
      <w:r>
        <w:rPr>
          <w:rFonts w:ascii="Book Antiqua" w:hAnsi="Book Antiqua" w:cs="Times New Roman"/>
          <w:sz w:val="24"/>
          <w:szCs w:val="24"/>
          <w:lang w:val="en-US"/>
        </w:rPr>
        <w:lastRenderedPageBreak/>
        <w:t xml:space="preserve">communications </w:t>
      </w:r>
      <w:r w:rsidR="00040533">
        <w:rPr>
          <w:rFonts w:ascii="Book Antiqua" w:hAnsi="Book Antiqua" w:cs="Times New Roman"/>
          <w:sz w:val="24"/>
          <w:szCs w:val="24"/>
          <w:lang w:val="en-US"/>
        </w:rPr>
        <w:t>features</w:t>
      </w:r>
      <w:r>
        <w:rPr>
          <w:rFonts w:ascii="Book Antiqua" w:hAnsi="Book Antiqua" w:cs="Times New Roman"/>
          <w:sz w:val="24"/>
          <w:szCs w:val="24"/>
          <w:lang w:val="en-US"/>
        </w:rPr>
        <w:t xml:space="preserve"> that would enable rap</w:t>
      </w:r>
      <w:r w:rsidR="00040533">
        <w:rPr>
          <w:rFonts w:ascii="Book Antiqua" w:hAnsi="Book Antiqua" w:cs="Times New Roman"/>
          <w:sz w:val="24"/>
          <w:szCs w:val="24"/>
          <w:lang w:val="en-US"/>
        </w:rPr>
        <w:t xml:space="preserve">id financial services recovery; </w:t>
      </w:r>
      <w:r>
        <w:rPr>
          <w:rFonts w:ascii="Book Antiqua" w:hAnsi="Book Antiqua" w:cs="Times New Roman"/>
          <w:sz w:val="24"/>
          <w:szCs w:val="24"/>
          <w:lang w:val="en-US"/>
        </w:rPr>
        <w:t xml:space="preserve">and to connect with many retail </w:t>
      </w:r>
      <w:r w:rsidR="00040533">
        <w:rPr>
          <w:rFonts w:ascii="Book Antiqua" w:hAnsi="Book Antiqua" w:cs="Times New Roman"/>
          <w:sz w:val="24"/>
          <w:szCs w:val="24"/>
          <w:lang w:val="en-US"/>
        </w:rPr>
        <w:t xml:space="preserve">businesses </w:t>
      </w:r>
      <w:r w:rsidR="00090D2F">
        <w:rPr>
          <w:rFonts w:ascii="Book Antiqua" w:hAnsi="Book Antiqua" w:cs="Times New Roman"/>
          <w:sz w:val="24"/>
          <w:szCs w:val="24"/>
          <w:lang w:val="en-US"/>
        </w:rPr>
        <w:t xml:space="preserve">early in </w:t>
      </w:r>
      <w:r>
        <w:rPr>
          <w:rFonts w:ascii="Book Antiqua" w:hAnsi="Book Antiqua" w:cs="Times New Roman"/>
          <w:sz w:val="24"/>
          <w:szCs w:val="24"/>
          <w:lang w:val="en-US"/>
        </w:rPr>
        <w:t>their recovery</w:t>
      </w:r>
      <w:r w:rsidR="00090D2F">
        <w:rPr>
          <w:rFonts w:ascii="Book Antiqua" w:hAnsi="Book Antiqua" w:cs="Times New Roman"/>
          <w:sz w:val="24"/>
          <w:szCs w:val="24"/>
          <w:lang w:val="en-US"/>
        </w:rPr>
        <w:t xml:space="preserve"> process</w:t>
      </w:r>
      <w:r>
        <w:rPr>
          <w:rFonts w:ascii="Book Antiqua" w:hAnsi="Book Antiqua" w:cs="Times New Roman"/>
          <w:sz w:val="24"/>
          <w:szCs w:val="24"/>
          <w:lang w:val="en-US"/>
        </w:rPr>
        <w:t>.  The Sand Dollar infrastructure is being designed to connect with bank accounts, so that remote access to these facilities is also quickly re-enabled for deposits and withdrawals.</w:t>
      </w:r>
    </w:p>
    <w:p w14:paraId="0BC18E9E" w14:textId="16AF3A11" w:rsidR="004F2750" w:rsidRPr="00263791" w:rsidRDefault="00DF46E0" w:rsidP="000F331F">
      <w:pPr>
        <w:pStyle w:val="Heading2"/>
      </w:pPr>
      <w:r>
        <w:t>Tourism Sector Resilience</w:t>
      </w:r>
      <w:r w:rsidR="00672112" w:rsidRPr="00263791">
        <w:t xml:space="preserve"> for the Fixed-Exchange Rate Regime </w:t>
      </w:r>
    </w:p>
    <w:p w14:paraId="1549D529" w14:textId="08869F21" w:rsidR="000B4352" w:rsidRDefault="00100926" w:rsidP="00BD6279">
      <w:pPr>
        <w:spacing w:line="360" w:lineRule="auto"/>
        <w:jc w:val="both"/>
        <w:rPr>
          <w:rFonts w:ascii="Book Antiqua" w:hAnsi="Book Antiqua" w:cs="Times New Roman"/>
          <w:sz w:val="24"/>
          <w:szCs w:val="24"/>
          <w:lang w:val="en-US"/>
        </w:rPr>
      </w:pPr>
      <w:r w:rsidRPr="00263791">
        <w:rPr>
          <w:rFonts w:ascii="Book Antiqua" w:hAnsi="Book Antiqua" w:cs="Times New Roman"/>
          <w:sz w:val="24"/>
          <w:szCs w:val="24"/>
          <w:lang w:val="en-US"/>
        </w:rPr>
        <w:t xml:space="preserve">I started to touch on the stability of our </w:t>
      </w:r>
      <w:r w:rsidR="001D5403" w:rsidRPr="00263791">
        <w:rPr>
          <w:rFonts w:ascii="Book Antiqua" w:hAnsi="Book Antiqua" w:cs="Times New Roman"/>
          <w:sz w:val="24"/>
          <w:szCs w:val="24"/>
          <w:lang w:val="en-US"/>
        </w:rPr>
        <w:t xml:space="preserve">fixed exchange rate </w:t>
      </w:r>
      <w:r w:rsidR="00132847" w:rsidRPr="00263791">
        <w:rPr>
          <w:rFonts w:ascii="Book Antiqua" w:hAnsi="Book Antiqua" w:cs="Times New Roman"/>
          <w:sz w:val="24"/>
          <w:szCs w:val="24"/>
          <w:lang w:val="en-US"/>
        </w:rPr>
        <w:t xml:space="preserve">regime and </w:t>
      </w:r>
      <w:r w:rsidRPr="00263791">
        <w:rPr>
          <w:rFonts w:ascii="Book Antiqua" w:hAnsi="Book Antiqua" w:cs="Times New Roman"/>
          <w:sz w:val="24"/>
          <w:szCs w:val="24"/>
          <w:lang w:val="en-US"/>
        </w:rPr>
        <w:t xml:space="preserve">the value of the </w:t>
      </w:r>
      <w:r w:rsidR="00132847" w:rsidRPr="00263791">
        <w:rPr>
          <w:rFonts w:ascii="Book Antiqua" w:hAnsi="Book Antiqua" w:cs="Times New Roman"/>
          <w:sz w:val="24"/>
          <w:szCs w:val="24"/>
          <w:lang w:val="en-US"/>
        </w:rPr>
        <w:t>Bahamian Dollar</w:t>
      </w:r>
      <w:r w:rsidRPr="00263791">
        <w:rPr>
          <w:rFonts w:ascii="Book Antiqua" w:hAnsi="Book Antiqua" w:cs="Times New Roman"/>
          <w:sz w:val="24"/>
          <w:szCs w:val="24"/>
          <w:lang w:val="en-US"/>
        </w:rPr>
        <w:t xml:space="preserve"> earlier</w:t>
      </w:r>
      <w:r w:rsidR="00040533">
        <w:rPr>
          <w:rFonts w:ascii="Book Antiqua" w:hAnsi="Book Antiqua" w:cs="Times New Roman"/>
          <w:sz w:val="24"/>
          <w:szCs w:val="24"/>
          <w:lang w:val="en-US"/>
        </w:rPr>
        <w:t>.</w:t>
      </w:r>
      <w:r w:rsidRPr="00263791">
        <w:rPr>
          <w:rFonts w:ascii="Book Antiqua" w:hAnsi="Book Antiqua" w:cs="Times New Roman"/>
          <w:sz w:val="24"/>
          <w:szCs w:val="24"/>
          <w:lang w:val="en-US"/>
        </w:rPr>
        <w:t xml:space="preserve"> </w:t>
      </w:r>
      <w:r w:rsidR="00040533">
        <w:rPr>
          <w:rFonts w:ascii="Book Antiqua" w:hAnsi="Book Antiqua" w:cs="Times New Roman"/>
          <w:sz w:val="24"/>
          <w:szCs w:val="24"/>
          <w:lang w:val="en-US"/>
        </w:rPr>
        <w:t xml:space="preserve"> </w:t>
      </w:r>
      <w:r w:rsidR="00BD6279">
        <w:rPr>
          <w:rFonts w:ascii="Book Antiqua" w:hAnsi="Book Antiqua" w:cs="Times New Roman"/>
          <w:sz w:val="24"/>
          <w:szCs w:val="24"/>
          <w:lang w:val="en-US"/>
        </w:rPr>
        <w:t xml:space="preserve">For the medium and longer-term this </w:t>
      </w:r>
      <w:r w:rsidRPr="00263791">
        <w:rPr>
          <w:rFonts w:ascii="Book Antiqua" w:hAnsi="Book Antiqua" w:cs="Times New Roman"/>
          <w:sz w:val="24"/>
          <w:szCs w:val="24"/>
          <w:lang w:val="en-US"/>
        </w:rPr>
        <w:t xml:space="preserve">amounts </w:t>
      </w:r>
      <w:r w:rsidR="00BD6279">
        <w:rPr>
          <w:rFonts w:ascii="Book Antiqua" w:hAnsi="Book Antiqua" w:cs="Times New Roman"/>
          <w:sz w:val="24"/>
          <w:szCs w:val="24"/>
          <w:lang w:val="en-US"/>
        </w:rPr>
        <w:t xml:space="preserve">to </w:t>
      </w:r>
      <w:r>
        <w:rPr>
          <w:rFonts w:ascii="Book Antiqua" w:hAnsi="Book Antiqua" w:cs="Times New Roman"/>
          <w:sz w:val="24"/>
          <w:szCs w:val="24"/>
          <w:lang w:val="en-US"/>
        </w:rPr>
        <w:t xml:space="preserve">making </w:t>
      </w:r>
      <w:r w:rsidR="00B24D60">
        <w:rPr>
          <w:rFonts w:ascii="Book Antiqua" w:hAnsi="Book Antiqua" w:cs="Times New Roman"/>
          <w:sz w:val="24"/>
          <w:szCs w:val="24"/>
          <w:lang w:val="en-US"/>
        </w:rPr>
        <w:t>the</w:t>
      </w:r>
      <w:r>
        <w:rPr>
          <w:rFonts w:ascii="Book Antiqua" w:hAnsi="Book Antiqua" w:cs="Times New Roman"/>
          <w:sz w:val="24"/>
          <w:szCs w:val="24"/>
          <w:lang w:val="en-US"/>
        </w:rPr>
        <w:t xml:space="preserve"> foreign exchange earning assets more resilient.  Hotels and </w:t>
      </w:r>
      <w:r w:rsidR="00BD6279">
        <w:rPr>
          <w:rFonts w:ascii="Book Antiqua" w:hAnsi="Book Antiqua" w:cs="Times New Roman"/>
          <w:sz w:val="24"/>
          <w:szCs w:val="24"/>
          <w:lang w:val="en-US"/>
        </w:rPr>
        <w:t xml:space="preserve">other </w:t>
      </w:r>
      <w:r>
        <w:rPr>
          <w:rFonts w:ascii="Book Antiqua" w:hAnsi="Book Antiqua" w:cs="Times New Roman"/>
          <w:sz w:val="24"/>
          <w:szCs w:val="24"/>
          <w:lang w:val="en-US"/>
        </w:rPr>
        <w:t xml:space="preserve">onshore accommodations are </w:t>
      </w:r>
      <w:r w:rsidR="009471A1">
        <w:rPr>
          <w:rFonts w:ascii="Book Antiqua" w:hAnsi="Book Antiqua" w:cs="Times New Roman"/>
          <w:sz w:val="24"/>
          <w:szCs w:val="24"/>
          <w:lang w:val="en-US"/>
        </w:rPr>
        <w:t>T</w:t>
      </w:r>
      <w:r w:rsidR="00BD6279">
        <w:rPr>
          <w:rFonts w:ascii="Book Antiqua" w:hAnsi="Book Antiqua" w:cs="Times New Roman"/>
          <w:sz w:val="24"/>
          <w:szCs w:val="24"/>
          <w:lang w:val="en-US"/>
        </w:rPr>
        <w:t>he Bahamas’</w:t>
      </w:r>
      <w:r>
        <w:rPr>
          <w:rFonts w:ascii="Book Antiqua" w:hAnsi="Book Antiqua" w:cs="Times New Roman"/>
          <w:sz w:val="24"/>
          <w:szCs w:val="24"/>
          <w:lang w:val="en-US"/>
        </w:rPr>
        <w:t xml:space="preserve"> most valuable and most exposed assets</w:t>
      </w:r>
      <w:r w:rsidR="006F3B36" w:rsidRPr="00B4523E">
        <w:rPr>
          <w:rFonts w:ascii="Book Antiqua" w:hAnsi="Book Antiqua" w:cs="Times New Roman"/>
          <w:sz w:val="24"/>
          <w:szCs w:val="24"/>
          <w:lang w:val="en-US"/>
        </w:rPr>
        <w:t xml:space="preserve">.  </w:t>
      </w:r>
      <w:r>
        <w:rPr>
          <w:rFonts w:ascii="Book Antiqua" w:hAnsi="Book Antiqua" w:cs="Times New Roman"/>
          <w:sz w:val="24"/>
          <w:szCs w:val="24"/>
          <w:lang w:val="en-US"/>
        </w:rPr>
        <w:t>Damages to Abaco are most summarized by the extent to which these assets have been take</w:t>
      </w:r>
      <w:r w:rsidR="00307409">
        <w:rPr>
          <w:rFonts w:ascii="Book Antiqua" w:hAnsi="Book Antiqua" w:cs="Times New Roman"/>
          <w:sz w:val="24"/>
          <w:szCs w:val="24"/>
          <w:lang w:val="en-US"/>
        </w:rPr>
        <w:t>n</w:t>
      </w:r>
      <w:r>
        <w:rPr>
          <w:rFonts w:ascii="Book Antiqua" w:hAnsi="Book Antiqua" w:cs="Times New Roman"/>
          <w:sz w:val="24"/>
          <w:szCs w:val="24"/>
          <w:lang w:val="en-US"/>
        </w:rPr>
        <w:t xml:space="preserve"> offline.</w:t>
      </w:r>
      <w:r w:rsidR="00BE45CD" w:rsidRPr="00B4523E">
        <w:rPr>
          <w:rFonts w:ascii="Book Antiqua" w:hAnsi="Book Antiqua" w:cs="Times New Roman"/>
          <w:sz w:val="24"/>
          <w:szCs w:val="24"/>
          <w:lang w:val="en-US"/>
        </w:rPr>
        <w:t xml:space="preserve"> </w:t>
      </w:r>
      <w:r>
        <w:rPr>
          <w:rFonts w:ascii="Book Antiqua" w:hAnsi="Book Antiqua" w:cs="Times New Roman"/>
          <w:sz w:val="24"/>
          <w:szCs w:val="24"/>
          <w:lang w:val="en-US"/>
        </w:rPr>
        <w:t xml:space="preserve">  </w:t>
      </w:r>
      <w:r w:rsidR="00BE45CD" w:rsidRPr="00B4523E">
        <w:rPr>
          <w:rFonts w:ascii="Book Antiqua" w:hAnsi="Book Antiqua" w:cs="Times New Roman"/>
          <w:sz w:val="24"/>
          <w:szCs w:val="24"/>
          <w:lang w:val="en-US"/>
        </w:rPr>
        <w:t>In 2016, Hurricane Matthew</w:t>
      </w:r>
      <w:r w:rsidR="00B24D60">
        <w:rPr>
          <w:rFonts w:ascii="Book Antiqua" w:hAnsi="Book Antiqua" w:cs="Times New Roman"/>
          <w:sz w:val="24"/>
          <w:szCs w:val="24"/>
          <w:lang w:val="en-US"/>
        </w:rPr>
        <w:t xml:space="preserve"> similarly</w:t>
      </w:r>
      <w:r w:rsidR="00BE45CD" w:rsidRPr="00B4523E">
        <w:rPr>
          <w:rFonts w:ascii="Book Antiqua" w:hAnsi="Book Antiqua" w:cs="Times New Roman"/>
          <w:sz w:val="24"/>
          <w:szCs w:val="24"/>
          <w:lang w:val="en-US"/>
        </w:rPr>
        <w:t xml:space="preserve"> resulted in the loss of much of Grand Bahama’s room inventory, </w:t>
      </w:r>
      <w:r w:rsidR="00754238" w:rsidRPr="00B4523E">
        <w:rPr>
          <w:rFonts w:ascii="Book Antiqua" w:hAnsi="Book Antiqua" w:cs="Times New Roman"/>
          <w:sz w:val="24"/>
          <w:szCs w:val="24"/>
          <w:lang w:val="en-US"/>
        </w:rPr>
        <w:t xml:space="preserve">compounding </w:t>
      </w:r>
      <w:r w:rsidR="00302B4B" w:rsidRPr="00B4523E">
        <w:rPr>
          <w:rFonts w:ascii="Book Antiqua" w:hAnsi="Book Antiqua" w:cs="Times New Roman"/>
          <w:sz w:val="24"/>
          <w:szCs w:val="24"/>
          <w:lang w:val="en-US"/>
        </w:rPr>
        <w:t xml:space="preserve">the decline in the island’s tourism output which had already been </w:t>
      </w:r>
      <w:r w:rsidR="000E1F6F">
        <w:rPr>
          <w:rFonts w:ascii="Book Antiqua" w:hAnsi="Book Antiqua" w:cs="Times New Roman"/>
          <w:sz w:val="24"/>
          <w:szCs w:val="24"/>
          <w:lang w:val="en-US"/>
        </w:rPr>
        <w:t>entrenched</w:t>
      </w:r>
      <w:r w:rsidR="00302B4B" w:rsidRPr="00B4523E">
        <w:rPr>
          <w:rFonts w:ascii="Book Antiqua" w:hAnsi="Book Antiqua" w:cs="Times New Roman"/>
          <w:sz w:val="24"/>
          <w:szCs w:val="24"/>
          <w:lang w:val="en-US"/>
        </w:rPr>
        <w:t>.</w:t>
      </w:r>
      <w:r w:rsidR="00BE45CD" w:rsidRPr="00B4523E">
        <w:rPr>
          <w:rFonts w:ascii="Book Antiqua" w:hAnsi="Book Antiqua" w:cs="Times New Roman"/>
          <w:sz w:val="24"/>
          <w:szCs w:val="24"/>
          <w:lang w:val="en-US"/>
        </w:rPr>
        <w:t xml:space="preserve"> </w:t>
      </w:r>
      <w:r w:rsidR="00492655" w:rsidRPr="00B4523E">
        <w:rPr>
          <w:rFonts w:ascii="Book Antiqua" w:hAnsi="Book Antiqua" w:cs="Times New Roman"/>
          <w:sz w:val="24"/>
          <w:szCs w:val="24"/>
          <w:lang w:val="en-US"/>
        </w:rPr>
        <w:t xml:space="preserve"> </w:t>
      </w:r>
    </w:p>
    <w:p w14:paraId="20CD2516" w14:textId="41326F41" w:rsidR="004507B4" w:rsidRDefault="00100926" w:rsidP="00BD6279">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 xml:space="preserve">If </w:t>
      </w:r>
      <w:r w:rsidR="000E1F6F">
        <w:rPr>
          <w:rFonts w:ascii="Book Antiqua" w:hAnsi="Book Antiqua" w:cs="Times New Roman"/>
          <w:sz w:val="24"/>
          <w:szCs w:val="24"/>
          <w:lang w:val="en-US"/>
        </w:rPr>
        <w:t>the Bahamas is</w:t>
      </w:r>
      <w:r>
        <w:rPr>
          <w:rFonts w:ascii="Book Antiqua" w:hAnsi="Book Antiqua" w:cs="Times New Roman"/>
          <w:sz w:val="24"/>
          <w:szCs w:val="24"/>
          <w:lang w:val="en-US"/>
        </w:rPr>
        <w:t xml:space="preserve"> to cope </w:t>
      </w:r>
      <w:r w:rsidR="000E1F6F">
        <w:rPr>
          <w:rFonts w:ascii="Book Antiqua" w:hAnsi="Book Antiqua" w:cs="Times New Roman"/>
          <w:sz w:val="24"/>
          <w:szCs w:val="24"/>
          <w:lang w:val="en-US"/>
        </w:rPr>
        <w:t xml:space="preserve">better </w:t>
      </w:r>
      <w:r>
        <w:rPr>
          <w:rFonts w:ascii="Book Antiqua" w:hAnsi="Book Antiqua" w:cs="Times New Roman"/>
          <w:sz w:val="24"/>
          <w:szCs w:val="24"/>
          <w:lang w:val="en-US"/>
        </w:rPr>
        <w:t xml:space="preserve">with more </w:t>
      </w:r>
      <w:r w:rsidR="00BD6279">
        <w:rPr>
          <w:rFonts w:ascii="Book Antiqua" w:hAnsi="Book Antiqua" w:cs="Times New Roman"/>
          <w:sz w:val="24"/>
          <w:szCs w:val="24"/>
          <w:lang w:val="en-US"/>
        </w:rPr>
        <w:t>frequent</w:t>
      </w:r>
      <w:r w:rsidR="00C1686D" w:rsidRPr="00B4523E">
        <w:rPr>
          <w:rFonts w:ascii="Book Antiqua" w:hAnsi="Book Antiqua" w:cs="Times New Roman"/>
          <w:sz w:val="24"/>
          <w:szCs w:val="24"/>
          <w:lang w:val="en-US"/>
        </w:rPr>
        <w:t xml:space="preserve"> and intens</w:t>
      </w:r>
      <w:r>
        <w:rPr>
          <w:rFonts w:ascii="Book Antiqua" w:hAnsi="Book Antiqua" w:cs="Times New Roman"/>
          <w:sz w:val="24"/>
          <w:szCs w:val="24"/>
          <w:lang w:val="en-US"/>
        </w:rPr>
        <w:t>e</w:t>
      </w:r>
      <w:r w:rsidR="00C1686D" w:rsidRPr="00B4523E">
        <w:rPr>
          <w:rFonts w:ascii="Book Antiqua" w:hAnsi="Book Antiqua" w:cs="Times New Roman"/>
          <w:sz w:val="24"/>
          <w:szCs w:val="24"/>
          <w:lang w:val="en-US"/>
        </w:rPr>
        <w:t xml:space="preserve"> tropical cyclones, </w:t>
      </w:r>
      <w:r w:rsidR="00ED5D36">
        <w:rPr>
          <w:rFonts w:ascii="Book Antiqua" w:hAnsi="Book Antiqua" w:cs="Times New Roman"/>
          <w:sz w:val="24"/>
          <w:szCs w:val="24"/>
          <w:lang w:val="en-US"/>
        </w:rPr>
        <w:t>it</w:t>
      </w:r>
      <w:r>
        <w:rPr>
          <w:rFonts w:ascii="Book Antiqua" w:hAnsi="Book Antiqua" w:cs="Times New Roman"/>
          <w:sz w:val="24"/>
          <w:szCs w:val="24"/>
          <w:lang w:val="en-US"/>
        </w:rPr>
        <w:t xml:space="preserve"> need</w:t>
      </w:r>
      <w:r w:rsidR="000E1F6F">
        <w:rPr>
          <w:rFonts w:ascii="Book Antiqua" w:hAnsi="Book Antiqua" w:cs="Times New Roman"/>
          <w:sz w:val="24"/>
          <w:szCs w:val="24"/>
          <w:lang w:val="en-US"/>
        </w:rPr>
        <w:t>s</w:t>
      </w:r>
      <w:r>
        <w:rPr>
          <w:rFonts w:ascii="Book Antiqua" w:hAnsi="Book Antiqua" w:cs="Times New Roman"/>
          <w:sz w:val="24"/>
          <w:szCs w:val="24"/>
          <w:lang w:val="en-US"/>
        </w:rPr>
        <w:t xml:space="preserve"> to be able to keep more of </w:t>
      </w:r>
      <w:r w:rsidR="000E1F6F">
        <w:rPr>
          <w:rFonts w:ascii="Book Antiqua" w:hAnsi="Book Antiqua" w:cs="Times New Roman"/>
          <w:sz w:val="24"/>
          <w:szCs w:val="24"/>
          <w:lang w:val="en-US"/>
        </w:rPr>
        <w:t>its</w:t>
      </w:r>
      <w:r>
        <w:rPr>
          <w:rFonts w:ascii="Book Antiqua" w:hAnsi="Book Antiqua" w:cs="Times New Roman"/>
          <w:sz w:val="24"/>
          <w:szCs w:val="24"/>
          <w:lang w:val="en-US"/>
        </w:rPr>
        <w:t xml:space="preserve"> income producing resources out of harm’s way.  One way to do this is</w:t>
      </w:r>
      <w:r w:rsidR="00BD6279">
        <w:rPr>
          <w:rFonts w:ascii="Book Antiqua" w:hAnsi="Book Antiqua" w:cs="Times New Roman"/>
          <w:sz w:val="24"/>
          <w:szCs w:val="24"/>
          <w:lang w:val="en-US"/>
        </w:rPr>
        <w:t xml:space="preserve"> through </w:t>
      </w:r>
      <w:r>
        <w:rPr>
          <w:rFonts w:ascii="Book Antiqua" w:hAnsi="Book Antiqua" w:cs="Times New Roman"/>
          <w:sz w:val="24"/>
          <w:szCs w:val="24"/>
          <w:lang w:val="en-US"/>
        </w:rPr>
        <w:t>direct ownership over more mobile infrastructure</w:t>
      </w:r>
      <w:r w:rsidR="00666F3B" w:rsidRPr="00B4523E">
        <w:rPr>
          <w:rFonts w:ascii="Book Antiqua" w:hAnsi="Book Antiqua" w:cs="Times New Roman"/>
          <w:sz w:val="24"/>
          <w:szCs w:val="24"/>
          <w:lang w:val="en-US"/>
        </w:rPr>
        <w:t>.</w:t>
      </w:r>
      <w:r w:rsidR="005720F7" w:rsidRPr="00B4523E">
        <w:rPr>
          <w:rFonts w:ascii="Book Antiqua" w:hAnsi="Book Antiqua" w:cs="Times New Roman"/>
          <w:sz w:val="24"/>
          <w:szCs w:val="24"/>
          <w:lang w:val="en-US"/>
        </w:rPr>
        <w:t xml:space="preserve">  </w:t>
      </w:r>
      <w:r w:rsidR="004507B4">
        <w:rPr>
          <w:rFonts w:ascii="Book Antiqua" w:hAnsi="Book Antiqua" w:cs="Times New Roman"/>
          <w:sz w:val="24"/>
          <w:szCs w:val="24"/>
          <w:lang w:val="en-US"/>
        </w:rPr>
        <w:t>T</w:t>
      </w:r>
      <w:r w:rsidR="005720F7" w:rsidRPr="00B4523E">
        <w:rPr>
          <w:rFonts w:ascii="Book Antiqua" w:hAnsi="Book Antiqua" w:cs="Times New Roman"/>
          <w:sz w:val="24"/>
          <w:szCs w:val="24"/>
          <w:lang w:val="en-US"/>
        </w:rPr>
        <w:t xml:space="preserve">he cruise industry </w:t>
      </w:r>
      <w:r w:rsidR="004507B4">
        <w:rPr>
          <w:rFonts w:ascii="Book Antiqua" w:hAnsi="Book Antiqua" w:cs="Times New Roman"/>
          <w:sz w:val="24"/>
          <w:szCs w:val="24"/>
          <w:lang w:val="en-US"/>
        </w:rPr>
        <w:t>does this already, and such capacity exist</w:t>
      </w:r>
      <w:r w:rsidR="00BD6279">
        <w:rPr>
          <w:rFonts w:ascii="Book Antiqua" w:hAnsi="Book Antiqua" w:cs="Times New Roman"/>
          <w:sz w:val="24"/>
          <w:szCs w:val="24"/>
          <w:lang w:val="en-US"/>
        </w:rPr>
        <w:t>s</w:t>
      </w:r>
      <w:r w:rsidR="004507B4">
        <w:rPr>
          <w:rFonts w:ascii="Book Antiqua" w:hAnsi="Book Antiqua" w:cs="Times New Roman"/>
          <w:sz w:val="24"/>
          <w:szCs w:val="24"/>
          <w:lang w:val="en-US"/>
        </w:rPr>
        <w:t xml:space="preserve"> to a great extent with smaller pleasure crafts.  </w:t>
      </w:r>
      <w:r w:rsidR="00BB4CC7">
        <w:rPr>
          <w:rFonts w:ascii="Book Antiqua" w:hAnsi="Book Antiqua" w:cs="Times New Roman"/>
          <w:sz w:val="24"/>
          <w:szCs w:val="24"/>
          <w:lang w:val="en-US"/>
        </w:rPr>
        <w:t>This</w:t>
      </w:r>
      <w:r w:rsidR="004507B4">
        <w:rPr>
          <w:rFonts w:ascii="Book Antiqua" w:hAnsi="Book Antiqua" w:cs="Times New Roman"/>
          <w:sz w:val="24"/>
          <w:szCs w:val="24"/>
          <w:lang w:val="en-US"/>
        </w:rPr>
        <w:t xml:space="preserve"> ties in with taking more advantage of the blue economy, </w:t>
      </w:r>
      <w:r w:rsidR="005720F7" w:rsidRPr="00B4523E">
        <w:rPr>
          <w:rFonts w:ascii="Book Antiqua" w:hAnsi="Book Antiqua" w:cs="Times New Roman"/>
          <w:sz w:val="24"/>
          <w:szCs w:val="24"/>
          <w:lang w:val="en-US"/>
        </w:rPr>
        <w:t>yachting and ecotourism</w:t>
      </w:r>
      <w:r w:rsidR="004507B4">
        <w:rPr>
          <w:rFonts w:ascii="Book Antiqua" w:hAnsi="Book Antiqua" w:cs="Times New Roman"/>
          <w:sz w:val="24"/>
          <w:szCs w:val="24"/>
          <w:lang w:val="en-US"/>
        </w:rPr>
        <w:t>.</w:t>
      </w:r>
      <w:r w:rsidR="005720F7" w:rsidRPr="00B4523E">
        <w:rPr>
          <w:rFonts w:ascii="Book Antiqua" w:hAnsi="Book Antiqua" w:cs="Times New Roman"/>
          <w:sz w:val="24"/>
          <w:szCs w:val="24"/>
          <w:lang w:val="en-US"/>
        </w:rPr>
        <w:t xml:space="preserve">  </w:t>
      </w:r>
      <w:r w:rsidR="001D2443">
        <w:rPr>
          <w:rFonts w:ascii="Book Antiqua" w:hAnsi="Book Antiqua" w:cs="Times New Roman"/>
          <w:sz w:val="24"/>
          <w:szCs w:val="24"/>
          <w:lang w:val="en-US"/>
        </w:rPr>
        <w:t xml:space="preserve">Achieving </w:t>
      </w:r>
      <w:r w:rsidR="00BE710F">
        <w:rPr>
          <w:rFonts w:ascii="Book Antiqua" w:hAnsi="Book Antiqua" w:cs="Times New Roman"/>
          <w:sz w:val="24"/>
          <w:szCs w:val="24"/>
          <w:lang w:val="en-US"/>
        </w:rPr>
        <w:t>increased</w:t>
      </w:r>
      <w:r w:rsidR="001D2443">
        <w:rPr>
          <w:rFonts w:ascii="Book Antiqua" w:hAnsi="Book Antiqua" w:cs="Times New Roman"/>
          <w:sz w:val="24"/>
          <w:szCs w:val="24"/>
          <w:lang w:val="en-US"/>
        </w:rPr>
        <w:t xml:space="preserve"> </w:t>
      </w:r>
      <w:r w:rsidR="004507B4">
        <w:rPr>
          <w:rFonts w:ascii="Book Antiqua" w:hAnsi="Book Antiqua" w:cs="Times New Roman"/>
          <w:sz w:val="24"/>
          <w:szCs w:val="24"/>
          <w:lang w:val="en-US"/>
        </w:rPr>
        <w:t xml:space="preserve">direct ownership and direct employment in the sector would expand the </w:t>
      </w:r>
      <w:r w:rsidR="004148AD">
        <w:rPr>
          <w:rFonts w:ascii="Book Antiqua" w:hAnsi="Book Antiqua" w:cs="Times New Roman"/>
          <w:sz w:val="24"/>
          <w:szCs w:val="24"/>
          <w:lang w:val="en-US"/>
        </w:rPr>
        <w:t xml:space="preserve">associated </w:t>
      </w:r>
      <w:r w:rsidR="004507B4">
        <w:rPr>
          <w:rFonts w:ascii="Book Antiqua" w:hAnsi="Book Antiqua" w:cs="Times New Roman"/>
          <w:sz w:val="24"/>
          <w:szCs w:val="24"/>
          <w:lang w:val="en-US"/>
        </w:rPr>
        <w:t xml:space="preserve">retention of economic benefits.  </w:t>
      </w:r>
      <w:r w:rsidR="004148AD">
        <w:rPr>
          <w:rFonts w:ascii="Book Antiqua" w:hAnsi="Book Antiqua" w:cs="Times New Roman"/>
          <w:sz w:val="24"/>
          <w:szCs w:val="24"/>
          <w:lang w:val="en-US"/>
        </w:rPr>
        <w:t>The Bahamian</w:t>
      </w:r>
      <w:r w:rsidR="004507B4">
        <w:rPr>
          <w:rFonts w:ascii="Book Antiqua" w:hAnsi="Book Antiqua" w:cs="Times New Roman"/>
          <w:sz w:val="24"/>
          <w:szCs w:val="24"/>
          <w:lang w:val="en-US"/>
        </w:rPr>
        <w:t xml:space="preserve"> exchange control regime has already </w:t>
      </w:r>
      <w:r w:rsidR="00BD6279">
        <w:rPr>
          <w:rFonts w:ascii="Book Antiqua" w:hAnsi="Book Antiqua" w:cs="Times New Roman"/>
          <w:sz w:val="24"/>
          <w:szCs w:val="24"/>
          <w:lang w:val="en-US"/>
        </w:rPr>
        <w:t xml:space="preserve">been </w:t>
      </w:r>
      <w:r w:rsidR="004507B4">
        <w:rPr>
          <w:rFonts w:ascii="Book Antiqua" w:hAnsi="Book Antiqua" w:cs="Times New Roman"/>
          <w:sz w:val="24"/>
          <w:szCs w:val="24"/>
          <w:lang w:val="en-US"/>
        </w:rPr>
        <w:t xml:space="preserve">reformed </w:t>
      </w:r>
      <w:r w:rsidR="00BD6279">
        <w:rPr>
          <w:rFonts w:ascii="Book Antiqua" w:hAnsi="Book Antiqua" w:cs="Times New Roman"/>
          <w:sz w:val="24"/>
          <w:szCs w:val="24"/>
          <w:lang w:val="en-US"/>
        </w:rPr>
        <w:t>to</w:t>
      </w:r>
      <w:r w:rsidR="004507B4">
        <w:rPr>
          <w:rFonts w:ascii="Book Antiqua" w:hAnsi="Book Antiqua" w:cs="Times New Roman"/>
          <w:sz w:val="24"/>
          <w:szCs w:val="24"/>
          <w:lang w:val="en-US"/>
        </w:rPr>
        <w:t xml:space="preserve"> permit Bahamians to </w:t>
      </w:r>
      <w:r w:rsidR="00FB185E">
        <w:rPr>
          <w:rFonts w:ascii="Book Antiqua" w:hAnsi="Book Antiqua" w:cs="Times New Roman"/>
          <w:sz w:val="24"/>
          <w:szCs w:val="24"/>
          <w:lang w:val="en-US"/>
        </w:rPr>
        <w:t>attract</w:t>
      </w:r>
      <w:r w:rsidR="00BD6279">
        <w:rPr>
          <w:rFonts w:ascii="Book Antiqua" w:hAnsi="Book Antiqua" w:cs="Times New Roman"/>
          <w:sz w:val="24"/>
          <w:szCs w:val="24"/>
          <w:lang w:val="en-US"/>
        </w:rPr>
        <w:t xml:space="preserve"> </w:t>
      </w:r>
      <w:r w:rsidR="00FB185E">
        <w:rPr>
          <w:rFonts w:ascii="Book Antiqua" w:hAnsi="Book Antiqua" w:cs="Times New Roman"/>
          <w:sz w:val="24"/>
          <w:szCs w:val="24"/>
          <w:lang w:val="en-US"/>
        </w:rPr>
        <w:t>capital</w:t>
      </w:r>
      <w:r w:rsidR="00BD6279">
        <w:rPr>
          <w:rFonts w:ascii="Book Antiqua" w:hAnsi="Book Antiqua" w:cs="Times New Roman"/>
          <w:sz w:val="24"/>
          <w:szCs w:val="24"/>
          <w:lang w:val="en-US"/>
        </w:rPr>
        <w:t xml:space="preserve"> in foreign currency to </w:t>
      </w:r>
      <w:r w:rsidR="004507B4">
        <w:rPr>
          <w:rFonts w:ascii="Book Antiqua" w:hAnsi="Book Antiqua" w:cs="Times New Roman"/>
          <w:sz w:val="24"/>
          <w:szCs w:val="24"/>
          <w:lang w:val="en-US"/>
        </w:rPr>
        <w:t xml:space="preserve">acquire ownership in the maritime sector.  However, it is a strategy to which heightened entrepreneurial focus is </w:t>
      </w:r>
      <w:r w:rsidR="00BD6279">
        <w:rPr>
          <w:rFonts w:ascii="Book Antiqua" w:hAnsi="Book Antiqua" w:cs="Times New Roman"/>
          <w:sz w:val="24"/>
          <w:szCs w:val="24"/>
          <w:lang w:val="en-US"/>
        </w:rPr>
        <w:t xml:space="preserve">now </w:t>
      </w:r>
      <w:r w:rsidR="004507B4">
        <w:rPr>
          <w:rFonts w:ascii="Book Antiqua" w:hAnsi="Book Antiqua" w:cs="Times New Roman"/>
          <w:sz w:val="24"/>
          <w:szCs w:val="24"/>
          <w:lang w:val="en-US"/>
        </w:rPr>
        <w:t xml:space="preserve">required, and potentially public </w:t>
      </w:r>
      <w:r w:rsidR="006C212E">
        <w:rPr>
          <w:rFonts w:ascii="Book Antiqua" w:hAnsi="Book Antiqua" w:cs="Times New Roman"/>
          <w:sz w:val="24"/>
          <w:szCs w:val="24"/>
          <w:lang w:val="en-US"/>
        </w:rPr>
        <w:t xml:space="preserve">policy </w:t>
      </w:r>
      <w:r w:rsidR="004507B4">
        <w:rPr>
          <w:rFonts w:ascii="Book Antiqua" w:hAnsi="Book Antiqua" w:cs="Times New Roman"/>
          <w:sz w:val="24"/>
          <w:szCs w:val="24"/>
          <w:lang w:val="en-US"/>
        </w:rPr>
        <w:t xml:space="preserve">that </w:t>
      </w:r>
      <w:r w:rsidR="00FB185E">
        <w:rPr>
          <w:rFonts w:ascii="Book Antiqua" w:hAnsi="Book Antiqua" w:cs="Times New Roman"/>
          <w:sz w:val="24"/>
          <w:szCs w:val="24"/>
          <w:lang w:val="en-US"/>
        </w:rPr>
        <w:t xml:space="preserve">would </w:t>
      </w:r>
      <w:r w:rsidR="004507B4">
        <w:rPr>
          <w:rFonts w:ascii="Book Antiqua" w:hAnsi="Book Antiqua" w:cs="Times New Roman"/>
          <w:sz w:val="24"/>
          <w:szCs w:val="24"/>
          <w:lang w:val="en-US"/>
        </w:rPr>
        <w:t>provide the same tax</w:t>
      </w:r>
      <w:r w:rsidR="00784C56">
        <w:rPr>
          <w:rFonts w:ascii="Book Antiqua" w:hAnsi="Book Antiqua" w:cs="Times New Roman"/>
          <w:sz w:val="24"/>
          <w:szCs w:val="24"/>
          <w:lang w:val="en-US"/>
        </w:rPr>
        <w:t xml:space="preserve"> </w:t>
      </w:r>
      <w:r w:rsidR="004507B4">
        <w:rPr>
          <w:rFonts w:ascii="Book Antiqua" w:hAnsi="Book Antiqua" w:cs="Times New Roman"/>
          <w:sz w:val="24"/>
          <w:szCs w:val="24"/>
          <w:lang w:val="en-US"/>
        </w:rPr>
        <w:t>incentives for maritime assets as is done for onshore tourism assets.</w:t>
      </w:r>
    </w:p>
    <w:p w14:paraId="68C47BC8" w14:textId="19276A8D" w:rsidR="004E2F17" w:rsidRPr="006C2B41" w:rsidRDefault="004E2F17" w:rsidP="000F331F">
      <w:pPr>
        <w:pStyle w:val="Heading2"/>
      </w:pPr>
      <w:r w:rsidRPr="006C2B41">
        <w:t>Concluding Remarks</w:t>
      </w:r>
    </w:p>
    <w:p w14:paraId="69FF23DF" w14:textId="1684529D" w:rsidR="00562D27" w:rsidRDefault="00922527" w:rsidP="00B4523E">
      <w:pPr>
        <w:spacing w:line="360" w:lineRule="auto"/>
        <w:jc w:val="both"/>
        <w:rPr>
          <w:rFonts w:ascii="Book Antiqua" w:hAnsi="Book Antiqua" w:cs="Times New Roman"/>
          <w:sz w:val="24"/>
          <w:szCs w:val="24"/>
          <w:lang w:val="en-US"/>
        </w:rPr>
      </w:pPr>
      <w:r>
        <w:rPr>
          <w:rFonts w:ascii="Book Antiqua" w:hAnsi="Book Antiqua" w:cs="Times New Roman"/>
          <w:sz w:val="24"/>
          <w:szCs w:val="24"/>
          <w:lang w:val="en-US"/>
        </w:rPr>
        <w:t>In conclusion, Hurricane Dorian</w:t>
      </w:r>
      <w:r w:rsidR="00FC5F0F" w:rsidRPr="00263791">
        <w:rPr>
          <w:rFonts w:ascii="Book Antiqua" w:hAnsi="Book Antiqua" w:cs="Times New Roman"/>
          <w:sz w:val="24"/>
          <w:szCs w:val="24"/>
          <w:lang w:val="en-US"/>
        </w:rPr>
        <w:t xml:space="preserve"> </w:t>
      </w:r>
      <w:r w:rsidR="006538D6" w:rsidRPr="00263791">
        <w:rPr>
          <w:rFonts w:ascii="Book Antiqua" w:hAnsi="Book Antiqua" w:cs="Times New Roman"/>
          <w:sz w:val="24"/>
          <w:szCs w:val="24"/>
          <w:lang w:val="en-US"/>
        </w:rPr>
        <w:t>served</w:t>
      </w:r>
      <w:r w:rsidR="006C212E">
        <w:rPr>
          <w:rFonts w:ascii="Book Antiqua" w:hAnsi="Book Antiqua" w:cs="Times New Roman"/>
          <w:sz w:val="24"/>
          <w:szCs w:val="24"/>
          <w:lang w:val="en-US"/>
        </w:rPr>
        <w:t xml:space="preserve"> as</w:t>
      </w:r>
      <w:r w:rsidR="006538D6" w:rsidRPr="00263791">
        <w:rPr>
          <w:rFonts w:ascii="Book Antiqua" w:hAnsi="Book Antiqua" w:cs="Times New Roman"/>
          <w:sz w:val="24"/>
          <w:szCs w:val="24"/>
          <w:lang w:val="en-US"/>
        </w:rPr>
        <w:t xml:space="preserve"> a</w:t>
      </w:r>
      <w:r>
        <w:rPr>
          <w:rFonts w:ascii="Book Antiqua" w:hAnsi="Book Antiqua" w:cs="Times New Roman"/>
          <w:sz w:val="24"/>
          <w:szCs w:val="24"/>
          <w:lang w:val="en-US"/>
        </w:rPr>
        <w:t xml:space="preserve"> </w:t>
      </w:r>
      <w:r w:rsidR="006538D6" w:rsidRPr="00263791">
        <w:rPr>
          <w:rFonts w:ascii="Book Antiqua" w:hAnsi="Book Antiqua" w:cs="Times New Roman"/>
          <w:sz w:val="24"/>
          <w:szCs w:val="24"/>
          <w:lang w:val="en-US"/>
        </w:rPr>
        <w:t xml:space="preserve">reminder of the ongoing challenges facing </w:t>
      </w:r>
      <w:r>
        <w:rPr>
          <w:rFonts w:ascii="Book Antiqua" w:hAnsi="Book Antiqua" w:cs="Times New Roman"/>
          <w:sz w:val="24"/>
          <w:szCs w:val="24"/>
          <w:lang w:val="en-US"/>
        </w:rPr>
        <w:t>T</w:t>
      </w:r>
      <w:r w:rsidR="00B31F77" w:rsidRPr="00263791">
        <w:rPr>
          <w:rFonts w:ascii="Book Antiqua" w:hAnsi="Book Antiqua" w:cs="Times New Roman"/>
          <w:sz w:val="24"/>
          <w:szCs w:val="24"/>
          <w:lang w:val="en-US"/>
        </w:rPr>
        <w:t>he Bahamas</w:t>
      </w:r>
      <w:r w:rsidR="00FC63C9">
        <w:rPr>
          <w:rFonts w:ascii="Book Antiqua" w:hAnsi="Book Antiqua" w:cs="Times New Roman"/>
          <w:sz w:val="24"/>
          <w:szCs w:val="24"/>
          <w:lang w:val="en-US"/>
        </w:rPr>
        <w:t>,</w:t>
      </w:r>
      <w:r w:rsidR="006538D6" w:rsidRPr="00263791">
        <w:rPr>
          <w:rFonts w:ascii="Book Antiqua" w:hAnsi="Book Antiqua" w:cs="Times New Roman"/>
          <w:sz w:val="24"/>
          <w:szCs w:val="24"/>
          <w:lang w:val="en-US"/>
        </w:rPr>
        <w:t xml:space="preserve"> given our geographic and economic makeup</w:t>
      </w:r>
      <w:r w:rsidR="003B342F">
        <w:rPr>
          <w:rFonts w:ascii="Book Antiqua" w:hAnsi="Book Antiqua" w:cs="Times New Roman"/>
          <w:sz w:val="24"/>
          <w:szCs w:val="24"/>
          <w:lang w:val="en-US"/>
        </w:rPr>
        <w:t xml:space="preserve">, </w:t>
      </w:r>
      <w:r w:rsidR="00FD4514">
        <w:rPr>
          <w:rFonts w:ascii="Book Antiqua" w:hAnsi="Book Antiqua" w:cs="Times New Roman"/>
          <w:sz w:val="24"/>
          <w:szCs w:val="24"/>
          <w:lang w:val="en-US"/>
        </w:rPr>
        <w:t xml:space="preserve">set </w:t>
      </w:r>
      <w:r w:rsidR="003B342F">
        <w:rPr>
          <w:rFonts w:ascii="Book Antiqua" w:hAnsi="Book Antiqua" w:cs="Times New Roman"/>
          <w:sz w:val="24"/>
          <w:szCs w:val="24"/>
          <w:lang w:val="en-US"/>
        </w:rPr>
        <w:t>against the</w:t>
      </w:r>
      <w:r w:rsidR="00301E68" w:rsidRPr="00263791">
        <w:rPr>
          <w:rFonts w:ascii="Book Antiqua" w:hAnsi="Book Antiqua" w:cs="Times New Roman"/>
          <w:sz w:val="24"/>
          <w:szCs w:val="24"/>
          <w:lang w:val="en-US"/>
        </w:rPr>
        <w:t xml:space="preserve"> </w:t>
      </w:r>
      <w:r w:rsidR="00352742" w:rsidRPr="00263791">
        <w:rPr>
          <w:rFonts w:ascii="Book Antiqua" w:hAnsi="Book Antiqua" w:cs="Times New Roman"/>
          <w:sz w:val="24"/>
          <w:szCs w:val="24"/>
          <w:lang w:val="en-US"/>
        </w:rPr>
        <w:t>reality</w:t>
      </w:r>
      <w:r w:rsidR="00352742">
        <w:rPr>
          <w:rFonts w:ascii="Book Antiqua" w:hAnsi="Book Antiqua" w:cs="Times New Roman"/>
          <w:sz w:val="24"/>
          <w:szCs w:val="24"/>
          <w:lang w:val="en-US"/>
        </w:rPr>
        <w:t xml:space="preserve"> of</w:t>
      </w:r>
      <w:r w:rsidR="00E4627E">
        <w:rPr>
          <w:rFonts w:ascii="Book Antiqua" w:hAnsi="Book Antiqua" w:cs="Times New Roman"/>
          <w:sz w:val="24"/>
          <w:szCs w:val="24"/>
          <w:lang w:val="en-US"/>
        </w:rPr>
        <w:t xml:space="preserve"> </w:t>
      </w:r>
      <w:r w:rsidR="00301E68" w:rsidRPr="00263791">
        <w:rPr>
          <w:rFonts w:ascii="Book Antiqua" w:hAnsi="Book Antiqua" w:cs="Times New Roman"/>
          <w:sz w:val="24"/>
          <w:szCs w:val="24"/>
          <w:lang w:val="en-US"/>
        </w:rPr>
        <w:t xml:space="preserve"> global</w:t>
      </w:r>
      <w:r w:rsidR="00FD6C1F">
        <w:rPr>
          <w:rFonts w:ascii="Book Antiqua" w:hAnsi="Book Antiqua" w:cs="Times New Roman"/>
          <w:sz w:val="24"/>
          <w:szCs w:val="24"/>
          <w:lang w:val="en-US"/>
        </w:rPr>
        <w:t xml:space="preserve"> warming, rising sea lev</w:t>
      </w:r>
      <w:r w:rsidR="00C06FF1">
        <w:rPr>
          <w:rFonts w:ascii="Book Antiqua" w:hAnsi="Book Antiqua" w:cs="Times New Roman"/>
          <w:sz w:val="24"/>
          <w:szCs w:val="24"/>
          <w:lang w:val="en-US"/>
        </w:rPr>
        <w:t>el</w:t>
      </w:r>
      <w:r w:rsidR="00E4627E">
        <w:rPr>
          <w:rFonts w:ascii="Book Antiqua" w:hAnsi="Book Antiqua" w:cs="Times New Roman"/>
          <w:sz w:val="24"/>
          <w:szCs w:val="24"/>
          <w:lang w:val="en-US"/>
        </w:rPr>
        <w:t>s</w:t>
      </w:r>
      <w:r w:rsidR="00C06FF1">
        <w:rPr>
          <w:rFonts w:ascii="Book Antiqua" w:hAnsi="Book Antiqua" w:cs="Times New Roman"/>
          <w:sz w:val="24"/>
          <w:szCs w:val="24"/>
          <w:lang w:val="en-US"/>
        </w:rPr>
        <w:t xml:space="preserve"> and more </w:t>
      </w:r>
      <w:r w:rsidR="00E4627E">
        <w:rPr>
          <w:rFonts w:ascii="Book Antiqua" w:hAnsi="Book Antiqua" w:cs="Times New Roman"/>
          <w:sz w:val="24"/>
          <w:szCs w:val="24"/>
          <w:lang w:val="en-US"/>
        </w:rPr>
        <w:t>frequent, intense</w:t>
      </w:r>
      <w:r w:rsidR="00C06FF1">
        <w:rPr>
          <w:rFonts w:ascii="Book Antiqua" w:hAnsi="Book Antiqua" w:cs="Times New Roman"/>
          <w:sz w:val="24"/>
          <w:szCs w:val="24"/>
          <w:lang w:val="en-US"/>
        </w:rPr>
        <w:t xml:space="preserve"> storms. </w:t>
      </w:r>
      <w:r w:rsidR="00301E68" w:rsidRPr="00263791">
        <w:rPr>
          <w:rFonts w:ascii="Book Antiqua" w:hAnsi="Book Antiqua" w:cs="Times New Roman"/>
          <w:sz w:val="24"/>
          <w:szCs w:val="24"/>
          <w:lang w:val="en-US"/>
        </w:rPr>
        <w:t xml:space="preserve"> </w:t>
      </w:r>
      <w:r w:rsidR="00A6402B">
        <w:rPr>
          <w:rFonts w:ascii="Book Antiqua" w:hAnsi="Book Antiqua" w:cs="Times New Roman"/>
          <w:sz w:val="24"/>
          <w:szCs w:val="24"/>
          <w:lang w:val="en-US"/>
        </w:rPr>
        <w:t>W</w:t>
      </w:r>
      <w:r w:rsidR="00422D04" w:rsidRPr="00263791">
        <w:rPr>
          <w:rFonts w:ascii="Book Antiqua" w:hAnsi="Book Antiqua" w:cs="Times New Roman"/>
          <w:sz w:val="24"/>
          <w:szCs w:val="24"/>
          <w:lang w:val="en-US"/>
        </w:rPr>
        <w:t xml:space="preserve">e must </w:t>
      </w:r>
      <w:r w:rsidR="000D6385">
        <w:rPr>
          <w:rFonts w:ascii="Book Antiqua" w:hAnsi="Book Antiqua" w:cs="Times New Roman"/>
          <w:sz w:val="24"/>
          <w:szCs w:val="24"/>
          <w:lang w:val="en-US"/>
        </w:rPr>
        <w:t>apply</w:t>
      </w:r>
      <w:r w:rsidR="00422D04" w:rsidRPr="00263791">
        <w:rPr>
          <w:rFonts w:ascii="Book Antiqua" w:hAnsi="Book Antiqua" w:cs="Times New Roman"/>
          <w:sz w:val="24"/>
          <w:szCs w:val="24"/>
          <w:lang w:val="en-US"/>
        </w:rPr>
        <w:t xml:space="preserve"> </w:t>
      </w:r>
      <w:r w:rsidR="00422D04" w:rsidRPr="00263791">
        <w:rPr>
          <w:rFonts w:ascii="Book Antiqua" w:hAnsi="Book Antiqua" w:cs="Times New Roman"/>
          <w:sz w:val="24"/>
          <w:szCs w:val="24"/>
          <w:lang w:val="en-US"/>
        </w:rPr>
        <w:lastRenderedPageBreak/>
        <w:t>economic policies and framework</w:t>
      </w:r>
      <w:r w:rsidR="00A6402B">
        <w:rPr>
          <w:rFonts w:ascii="Book Antiqua" w:hAnsi="Book Antiqua" w:cs="Times New Roman"/>
          <w:sz w:val="24"/>
          <w:szCs w:val="24"/>
          <w:lang w:val="en-US"/>
        </w:rPr>
        <w:t>s</w:t>
      </w:r>
      <w:r w:rsidR="00422D04" w:rsidRPr="00263791">
        <w:rPr>
          <w:rFonts w:ascii="Book Antiqua" w:hAnsi="Book Antiqua" w:cs="Times New Roman"/>
          <w:sz w:val="24"/>
          <w:szCs w:val="24"/>
          <w:lang w:val="en-US"/>
        </w:rPr>
        <w:t xml:space="preserve"> for financial resilience that mitigate the risks associated with </w:t>
      </w:r>
      <w:r w:rsidR="00CB459E" w:rsidRPr="00263791">
        <w:rPr>
          <w:rFonts w:ascii="Book Antiqua" w:hAnsi="Book Antiqua" w:cs="Times New Roman"/>
          <w:sz w:val="24"/>
          <w:szCs w:val="24"/>
          <w:lang w:val="en-US"/>
        </w:rPr>
        <w:t>this new reality.</w:t>
      </w:r>
      <w:r w:rsidR="00984CBA" w:rsidRPr="00263791">
        <w:rPr>
          <w:rFonts w:ascii="Book Antiqua" w:hAnsi="Book Antiqua" w:cs="Times New Roman"/>
          <w:sz w:val="24"/>
          <w:szCs w:val="24"/>
          <w:lang w:val="en-US"/>
        </w:rPr>
        <w:t xml:space="preserve">  </w:t>
      </w:r>
      <w:r w:rsidR="000D6385">
        <w:rPr>
          <w:rFonts w:ascii="Book Antiqua" w:hAnsi="Book Antiqua" w:cs="Times New Roman"/>
          <w:sz w:val="24"/>
          <w:szCs w:val="24"/>
          <w:lang w:val="en-US"/>
        </w:rPr>
        <w:t>For its part,</w:t>
      </w:r>
      <w:r w:rsidR="00984CBA" w:rsidRPr="00263791">
        <w:rPr>
          <w:rFonts w:ascii="Book Antiqua" w:hAnsi="Book Antiqua" w:cs="Times New Roman"/>
          <w:sz w:val="24"/>
          <w:szCs w:val="24"/>
          <w:lang w:val="en-US"/>
        </w:rPr>
        <w:t xml:space="preserve"> Central Bank is in the process of developing a financial </w:t>
      </w:r>
      <w:r w:rsidR="004924D8">
        <w:rPr>
          <w:rFonts w:ascii="Book Antiqua" w:hAnsi="Book Antiqua" w:cs="Times New Roman"/>
          <w:sz w:val="24"/>
          <w:szCs w:val="24"/>
          <w:lang w:val="en-US"/>
        </w:rPr>
        <w:t xml:space="preserve">sector </w:t>
      </w:r>
      <w:r w:rsidR="00984CBA" w:rsidRPr="00263791">
        <w:rPr>
          <w:rFonts w:ascii="Book Antiqua" w:hAnsi="Book Antiqua" w:cs="Times New Roman"/>
          <w:sz w:val="24"/>
          <w:szCs w:val="24"/>
          <w:lang w:val="en-US"/>
        </w:rPr>
        <w:t xml:space="preserve">disaster recovery plan that </w:t>
      </w:r>
      <w:r w:rsidR="006C2B41" w:rsidRPr="00263791">
        <w:rPr>
          <w:rFonts w:ascii="Book Antiqua" w:hAnsi="Book Antiqua" w:cs="Times New Roman"/>
          <w:sz w:val="24"/>
          <w:szCs w:val="24"/>
          <w:lang w:val="en-US"/>
        </w:rPr>
        <w:t xml:space="preserve">will serve to enhance the sector’s preparedness </w:t>
      </w:r>
      <w:r w:rsidR="004924D8">
        <w:rPr>
          <w:rFonts w:ascii="Book Antiqua" w:hAnsi="Book Antiqua" w:cs="Times New Roman"/>
          <w:sz w:val="24"/>
          <w:szCs w:val="24"/>
          <w:lang w:val="en-US"/>
        </w:rPr>
        <w:t>and resilience to shocks</w:t>
      </w:r>
      <w:r w:rsidR="006C2B41" w:rsidRPr="00263791">
        <w:rPr>
          <w:rFonts w:ascii="Book Antiqua" w:hAnsi="Book Antiqua" w:cs="Times New Roman"/>
          <w:sz w:val="24"/>
          <w:szCs w:val="24"/>
          <w:lang w:val="en-US"/>
        </w:rPr>
        <w:t xml:space="preserve">, inclusive of the timely resumption of banking and payments </w:t>
      </w:r>
      <w:r w:rsidR="00423E25">
        <w:rPr>
          <w:rFonts w:ascii="Book Antiqua" w:hAnsi="Book Antiqua" w:cs="Times New Roman"/>
          <w:sz w:val="24"/>
          <w:szCs w:val="24"/>
          <w:lang w:val="en-US"/>
        </w:rPr>
        <w:t>services</w:t>
      </w:r>
      <w:r w:rsidR="0066275F">
        <w:rPr>
          <w:rFonts w:ascii="Book Antiqua" w:hAnsi="Book Antiqua" w:cs="Times New Roman"/>
          <w:sz w:val="24"/>
          <w:szCs w:val="24"/>
          <w:lang w:val="en-US"/>
        </w:rPr>
        <w:t>.</w:t>
      </w:r>
      <w:r w:rsidR="006C2B41" w:rsidRPr="00263791">
        <w:rPr>
          <w:rFonts w:ascii="Book Antiqua" w:hAnsi="Book Antiqua" w:cs="Times New Roman"/>
          <w:sz w:val="24"/>
          <w:szCs w:val="24"/>
          <w:lang w:val="en-US"/>
        </w:rPr>
        <w:t xml:space="preserve"> </w:t>
      </w:r>
      <w:r w:rsidR="0066275F">
        <w:rPr>
          <w:rFonts w:ascii="Book Antiqua" w:hAnsi="Book Antiqua" w:cs="Times New Roman"/>
          <w:sz w:val="24"/>
          <w:szCs w:val="24"/>
          <w:lang w:val="en-US"/>
        </w:rPr>
        <w:t>To these intervention</w:t>
      </w:r>
      <w:r w:rsidR="00352742">
        <w:rPr>
          <w:rFonts w:ascii="Book Antiqua" w:hAnsi="Book Antiqua" w:cs="Times New Roman"/>
          <w:sz w:val="24"/>
          <w:szCs w:val="24"/>
          <w:lang w:val="en-US"/>
        </w:rPr>
        <w:t>s</w:t>
      </w:r>
      <w:r w:rsidR="0066275F">
        <w:rPr>
          <w:rFonts w:ascii="Book Antiqua" w:hAnsi="Book Antiqua" w:cs="Times New Roman"/>
          <w:sz w:val="24"/>
          <w:szCs w:val="24"/>
          <w:lang w:val="en-US"/>
        </w:rPr>
        <w:t xml:space="preserve"> </w:t>
      </w:r>
      <w:r w:rsidR="00423E25">
        <w:rPr>
          <w:rFonts w:ascii="Book Antiqua" w:hAnsi="Book Antiqua" w:cs="Times New Roman"/>
          <w:sz w:val="24"/>
          <w:szCs w:val="24"/>
          <w:lang w:val="en-US"/>
        </w:rPr>
        <w:t>The Bahamas</w:t>
      </w:r>
      <w:r w:rsidR="00DE131D">
        <w:rPr>
          <w:rFonts w:ascii="Book Antiqua" w:hAnsi="Book Antiqua" w:cs="Times New Roman"/>
          <w:sz w:val="24"/>
          <w:szCs w:val="24"/>
          <w:lang w:val="en-US"/>
        </w:rPr>
        <w:t xml:space="preserve"> must </w:t>
      </w:r>
      <w:r w:rsidR="00423E25">
        <w:rPr>
          <w:rFonts w:ascii="Book Antiqua" w:hAnsi="Book Antiqua" w:cs="Times New Roman"/>
          <w:sz w:val="24"/>
          <w:szCs w:val="24"/>
          <w:lang w:val="en-US"/>
        </w:rPr>
        <w:t xml:space="preserve">also </w:t>
      </w:r>
      <w:r w:rsidR="00DE131D">
        <w:rPr>
          <w:rFonts w:ascii="Book Antiqua" w:hAnsi="Book Antiqua" w:cs="Times New Roman"/>
          <w:sz w:val="24"/>
          <w:szCs w:val="24"/>
          <w:lang w:val="en-US"/>
        </w:rPr>
        <w:t>secure higher insurance coverage in the hous</w:t>
      </w:r>
      <w:r w:rsidR="00192BB8">
        <w:rPr>
          <w:rFonts w:ascii="Book Antiqua" w:hAnsi="Book Antiqua" w:cs="Times New Roman"/>
          <w:sz w:val="24"/>
          <w:szCs w:val="24"/>
          <w:lang w:val="en-US"/>
        </w:rPr>
        <w:t>ehold sector</w:t>
      </w:r>
      <w:r w:rsidR="007272AA">
        <w:rPr>
          <w:rFonts w:ascii="Book Antiqua" w:hAnsi="Book Antiqua" w:cs="Times New Roman"/>
          <w:sz w:val="24"/>
          <w:szCs w:val="24"/>
          <w:lang w:val="en-US"/>
        </w:rPr>
        <w:t xml:space="preserve">; </w:t>
      </w:r>
      <w:r w:rsidR="00192BB8">
        <w:rPr>
          <w:rFonts w:ascii="Book Antiqua" w:hAnsi="Book Antiqua" w:cs="Times New Roman"/>
          <w:sz w:val="24"/>
          <w:szCs w:val="24"/>
          <w:lang w:val="en-US"/>
        </w:rPr>
        <w:t xml:space="preserve">and </w:t>
      </w:r>
      <w:r w:rsidR="007272AA">
        <w:rPr>
          <w:rFonts w:ascii="Book Antiqua" w:hAnsi="Book Antiqua" w:cs="Times New Roman"/>
          <w:sz w:val="24"/>
          <w:szCs w:val="24"/>
          <w:lang w:val="en-US"/>
        </w:rPr>
        <w:t xml:space="preserve">the </w:t>
      </w:r>
      <w:r w:rsidR="00192BB8">
        <w:rPr>
          <w:rFonts w:ascii="Book Antiqua" w:hAnsi="Book Antiqua" w:cs="Times New Roman"/>
          <w:sz w:val="24"/>
          <w:szCs w:val="24"/>
          <w:lang w:val="en-US"/>
        </w:rPr>
        <w:t xml:space="preserve">savings philosophy which the </w:t>
      </w:r>
      <w:r w:rsidR="007272AA">
        <w:rPr>
          <w:rFonts w:ascii="Book Antiqua" w:hAnsi="Book Antiqua" w:cs="Times New Roman"/>
          <w:sz w:val="24"/>
          <w:szCs w:val="24"/>
          <w:lang w:val="en-US"/>
        </w:rPr>
        <w:t>g</w:t>
      </w:r>
      <w:r w:rsidR="00E86547">
        <w:rPr>
          <w:rFonts w:ascii="Book Antiqua" w:hAnsi="Book Antiqua" w:cs="Times New Roman"/>
          <w:sz w:val="24"/>
          <w:szCs w:val="24"/>
          <w:lang w:val="en-US"/>
        </w:rPr>
        <w:t xml:space="preserve">overnment is pursuing must also come across strongly </w:t>
      </w:r>
      <w:r w:rsidR="0048502B">
        <w:rPr>
          <w:rFonts w:ascii="Book Antiqua" w:hAnsi="Book Antiqua" w:cs="Times New Roman"/>
          <w:sz w:val="24"/>
          <w:szCs w:val="24"/>
          <w:lang w:val="en-US"/>
        </w:rPr>
        <w:t xml:space="preserve">within households and in </w:t>
      </w:r>
      <w:r w:rsidR="007272AA">
        <w:rPr>
          <w:rFonts w:ascii="Book Antiqua" w:hAnsi="Book Antiqua" w:cs="Times New Roman"/>
          <w:sz w:val="24"/>
          <w:szCs w:val="24"/>
          <w:lang w:val="en-US"/>
        </w:rPr>
        <w:t>the</w:t>
      </w:r>
      <w:r w:rsidR="0048502B">
        <w:rPr>
          <w:rFonts w:ascii="Book Antiqua" w:hAnsi="Book Antiqua" w:cs="Times New Roman"/>
          <w:sz w:val="24"/>
          <w:szCs w:val="24"/>
          <w:lang w:val="en-US"/>
        </w:rPr>
        <w:t xml:space="preserve"> accumulated foreign exchange </w:t>
      </w:r>
      <w:r w:rsidR="00F832FB">
        <w:rPr>
          <w:rFonts w:ascii="Book Antiqua" w:hAnsi="Book Antiqua" w:cs="Times New Roman"/>
          <w:sz w:val="24"/>
          <w:szCs w:val="24"/>
          <w:lang w:val="en-US"/>
        </w:rPr>
        <w:t>holdings</w:t>
      </w:r>
      <w:r w:rsidR="00682F8D">
        <w:rPr>
          <w:rFonts w:ascii="Book Antiqua" w:hAnsi="Book Antiqua" w:cs="Times New Roman"/>
          <w:sz w:val="24"/>
          <w:szCs w:val="24"/>
          <w:lang w:val="en-US"/>
        </w:rPr>
        <w:t xml:space="preserve">. Whether the ills of climate change are of our own making or not, </w:t>
      </w:r>
      <w:r w:rsidR="00167AD5">
        <w:rPr>
          <w:rFonts w:ascii="Book Antiqua" w:hAnsi="Book Antiqua" w:cs="Times New Roman"/>
          <w:sz w:val="24"/>
          <w:szCs w:val="24"/>
          <w:lang w:val="en-US"/>
        </w:rPr>
        <w:t xml:space="preserve">The Bahamas cannot </w:t>
      </w:r>
      <w:r w:rsidR="00EC2438">
        <w:rPr>
          <w:rFonts w:ascii="Book Antiqua" w:hAnsi="Book Antiqua" w:cs="Times New Roman"/>
          <w:sz w:val="24"/>
          <w:szCs w:val="24"/>
          <w:lang w:val="en-US"/>
        </w:rPr>
        <w:t xml:space="preserve">ignore either </w:t>
      </w:r>
      <w:r w:rsidR="00167AD5">
        <w:rPr>
          <w:rFonts w:ascii="Book Antiqua" w:hAnsi="Book Antiqua" w:cs="Times New Roman"/>
          <w:sz w:val="24"/>
          <w:szCs w:val="24"/>
          <w:lang w:val="en-US"/>
        </w:rPr>
        <w:t xml:space="preserve">reality or </w:t>
      </w:r>
      <w:r w:rsidR="00EC2438">
        <w:rPr>
          <w:rFonts w:ascii="Book Antiqua" w:hAnsi="Book Antiqua" w:cs="Times New Roman"/>
          <w:sz w:val="24"/>
          <w:szCs w:val="24"/>
          <w:lang w:val="en-US"/>
        </w:rPr>
        <w:t xml:space="preserve">the </w:t>
      </w:r>
      <w:r w:rsidR="00167AD5">
        <w:rPr>
          <w:rFonts w:ascii="Book Antiqua" w:hAnsi="Book Antiqua" w:cs="Times New Roman"/>
          <w:sz w:val="24"/>
          <w:szCs w:val="24"/>
          <w:lang w:val="en-US"/>
        </w:rPr>
        <w:t xml:space="preserve">urgency </w:t>
      </w:r>
      <w:r w:rsidR="004815A4">
        <w:rPr>
          <w:rFonts w:ascii="Book Antiqua" w:hAnsi="Book Antiqua" w:cs="Times New Roman"/>
          <w:sz w:val="24"/>
          <w:szCs w:val="24"/>
          <w:lang w:val="en-US"/>
        </w:rPr>
        <w:t xml:space="preserve">of protecting itself better; and accepting that certain economic and financial priorities </w:t>
      </w:r>
      <w:r w:rsidR="00562D27">
        <w:rPr>
          <w:rFonts w:ascii="Book Antiqua" w:hAnsi="Book Antiqua" w:cs="Times New Roman"/>
          <w:sz w:val="24"/>
          <w:szCs w:val="24"/>
          <w:lang w:val="en-US"/>
        </w:rPr>
        <w:t>have to be adjusted.</w:t>
      </w:r>
    </w:p>
    <w:p w14:paraId="34BECC2E" w14:textId="69A6B83E" w:rsidR="000F331F" w:rsidRDefault="000F331F">
      <w:pPr>
        <w:rPr>
          <w:rFonts w:ascii="Book Antiqua" w:hAnsi="Book Antiqua" w:cs="Times New Roman"/>
          <w:sz w:val="24"/>
          <w:szCs w:val="24"/>
          <w:lang w:val="en-US"/>
        </w:rPr>
      </w:pPr>
      <w:r>
        <w:rPr>
          <w:rFonts w:ascii="Book Antiqua" w:hAnsi="Book Antiqua" w:cs="Times New Roman"/>
          <w:sz w:val="24"/>
          <w:szCs w:val="24"/>
          <w:lang w:val="en-US"/>
        </w:rPr>
        <w:br w:type="page"/>
      </w:r>
    </w:p>
    <w:p w14:paraId="3BF70E32" w14:textId="77777777" w:rsidR="003167F1" w:rsidRDefault="003167F1">
      <w:pPr>
        <w:rPr>
          <w:rFonts w:ascii="Book Antiqua" w:hAnsi="Book Antiqua" w:cs="Times New Roman"/>
          <w:sz w:val="24"/>
          <w:szCs w:val="24"/>
          <w:lang w:val="en-US"/>
        </w:rPr>
      </w:pPr>
    </w:p>
    <w:p w14:paraId="35C665ED" w14:textId="5C2535AF" w:rsidR="00104045" w:rsidRPr="000F331F" w:rsidRDefault="0051561B" w:rsidP="000F331F">
      <w:pPr>
        <w:pStyle w:val="Heading2"/>
        <w:jc w:val="center"/>
        <w:rPr>
          <w:sz w:val="28"/>
          <w:szCs w:val="28"/>
        </w:rPr>
      </w:pPr>
      <w:r w:rsidRPr="000F331F">
        <w:rPr>
          <w:sz w:val="28"/>
          <w:szCs w:val="28"/>
        </w:rPr>
        <w:t>Appendix of Figures and Chart</w:t>
      </w:r>
      <w:r w:rsidR="000F331F">
        <w:rPr>
          <w:sz w:val="28"/>
          <w:szCs w:val="28"/>
        </w:rPr>
        <w:t>s</w:t>
      </w:r>
    </w:p>
    <w:p w14:paraId="2D53A148" w14:textId="30C9E093" w:rsidR="000F331F" w:rsidRPr="000F331F" w:rsidRDefault="000F331F" w:rsidP="000F331F">
      <w:pPr>
        <w:spacing w:after="0" w:line="240" w:lineRule="auto"/>
        <w:jc w:val="both"/>
        <w:rPr>
          <w:rFonts w:asciiTheme="majorHAnsi" w:hAnsiTheme="majorHAnsi" w:cstheme="majorHAns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F331F" w:rsidRPr="000F331F" w14:paraId="44A5DF3C" w14:textId="77777777" w:rsidTr="000F331F">
        <w:tc>
          <w:tcPr>
            <w:tcW w:w="9016" w:type="dxa"/>
          </w:tcPr>
          <w:p w14:paraId="2B26BA47" w14:textId="37A183DA" w:rsidR="000F331F" w:rsidRPr="000F331F" w:rsidRDefault="000F331F" w:rsidP="000F331F">
            <w:pPr>
              <w:jc w:val="center"/>
              <w:rPr>
                <w:rFonts w:asciiTheme="majorHAnsi" w:hAnsiTheme="majorHAnsi" w:cstheme="majorHAnsi"/>
                <w:b/>
                <w:color w:val="002060"/>
                <w:sz w:val="24"/>
                <w:szCs w:val="24"/>
                <w:lang w:val="en-US"/>
              </w:rPr>
            </w:pPr>
            <w:r w:rsidRPr="000F331F">
              <w:rPr>
                <w:rFonts w:asciiTheme="majorHAnsi" w:hAnsiTheme="majorHAnsi" w:cstheme="majorHAnsi"/>
                <w:b/>
                <w:color w:val="002060"/>
                <w:sz w:val="24"/>
                <w:szCs w:val="24"/>
                <w:lang w:val="en-US"/>
              </w:rPr>
              <w:t>Figure 1: Recent Hurricane Impact on Stopover Tourist Trends</w:t>
            </w:r>
          </w:p>
          <w:p w14:paraId="4A4C0A20" w14:textId="32CFA498" w:rsidR="000F331F" w:rsidRPr="000F331F" w:rsidRDefault="000F331F" w:rsidP="000F331F">
            <w:pPr>
              <w:jc w:val="center"/>
              <w:rPr>
                <w:rFonts w:asciiTheme="majorHAnsi" w:hAnsiTheme="majorHAnsi" w:cstheme="majorHAnsi"/>
                <w:sz w:val="24"/>
                <w:szCs w:val="24"/>
                <w:lang w:val="en-US"/>
              </w:rPr>
            </w:pPr>
          </w:p>
          <w:p w14:paraId="753F5853" w14:textId="3F5F6755" w:rsidR="000F331F" w:rsidRPr="000F331F" w:rsidRDefault="000F331F" w:rsidP="000F331F">
            <w:pPr>
              <w:jc w:val="center"/>
              <w:rPr>
                <w:rFonts w:asciiTheme="majorHAnsi" w:hAnsiTheme="majorHAnsi" w:cstheme="majorHAnsi"/>
                <w:sz w:val="24"/>
                <w:szCs w:val="24"/>
                <w:lang w:val="en-US"/>
              </w:rPr>
            </w:pPr>
            <w:r w:rsidRPr="000F331F">
              <w:rPr>
                <w:rFonts w:asciiTheme="majorHAnsi" w:hAnsiTheme="majorHAnsi" w:cstheme="majorHAnsi"/>
                <w:noProof/>
                <w:sz w:val="24"/>
                <w:szCs w:val="24"/>
                <w:lang w:val="en-AU" w:eastAsia="en-AU"/>
              </w:rPr>
              <w:drawing>
                <wp:inline distT="0" distB="0" distL="0" distR="0" wp14:anchorId="2D92597D" wp14:editId="464D6F23">
                  <wp:extent cx="4153239" cy="29047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57410" cy="2907714"/>
                          </a:xfrm>
                          <a:prstGeom prst="rect">
                            <a:avLst/>
                          </a:prstGeom>
                          <a:noFill/>
                        </pic:spPr>
                      </pic:pic>
                    </a:graphicData>
                  </a:graphic>
                </wp:inline>
              </w:drawing>
            </w:r>
          </w:p>
          <w:p w14:paraId="2F0096CC" w14:textId="225F46A8" w:rsidR="000F331F" w:rsidRPr="000F331F" w:rsidRDefault="000F331F" w:rsidP="000F331F">
            <w:pPr>
              <w:jc w:val="center"/>
              <w:rPr>
                <w:rFonts w:asciiTheme="majorHAnsi" w:hAnsiTheme="majorHAnsi" w:cstheme="majorHAnsi"/>
                <w:sz w:val="24"/>
                <w:szCs w:val="24"/>
                <w:lang w:val="en-US"/>
              </w:rPr>
            </w:pPr>
            <w:r w:rsidRPr="000F331F">
              <w:rPr>
                <w:rFonts w:asciiTheme="majorHAnsi" w:hAnsiTheme="majorHAnsi" w:cstheme="majorHAnsi"/>
                <w:sz w:val="24"/>
                <w:szCs w:val="24"/>
                <w:lang w:val="en-US"/>
              </w:rPr>
              <w:t>Source: Bahamas Ministry of Tourism Data</w:t>
            </w:r>
          </w:p>
        </w:tc>
      </w:tr>
    </w:tbl>
    <w:p w14:paraId="346FF0C8" w14:textId="77777777" w:rsidR="000F331F" w:rsidRPr="000F331F" w:rsidRDefault="000F331F" w:rsidP="000F331F">
      <w:pPr>
        <w:spacing w:after="0" w:line="240" w:lineRule="auto"/>
        <w:jc w:val="both"/>
        <w:rPr>
          <w:rFonts w:asciiTheme="majorHAnsi" w:hAnsiTheme="majorHAnsi" w:cstheme="majorHAnsi"/>
          <w:sz w:val="24"/>
          <w:szCs w:val="24"/>
          <w:lang w:val="en-US"/>
        </w:rPr>
      </w:pPr>
    </w:p>
    <w:p w14:paraId="22AE45EC" w14:textId="02E2AF1F" w:rsidR="000F331F" w:rsidRPr="000F331F" w:rsidRDefault="000F331F" w:rsidP="000F331F">
      <w:pPr>
        <w:spacing w:after="0" w:line="240" w:lineRule="auto"/>
        <w:jc w:val="both"/>
        <w:rPr>
          <w:rFonts w:asciiTheme="majorHAnsi" w:hAnsiTheme="majorHAnsi" w:cstheme="majorHAnsi"/>
          <w:sz w:val="24"/>
          <w:szCs w:val="24"/>
          <w:lang w:val="en-US"/>
        </w:rPr>
      </w:pPr>
    </w:p>
    <w:p w14:paraId="690E0889" w14:textId="77777777" w:rsidR="000F331F" w:rsidRPr="000F331F" w:rsidRDefault="000F331F" w:rsidP="000F331F">
      <w:pPr>
        <w:spacing w:after="0" w:line="240" w:lineRule="auto"/>
        <w:jc w:val="both"/>
        <w:rPr>
          <w:rFonts w:asciiTheme="majorHAnsi" w:hAnsiTheme="majorHAnsi" w:cstheme="majorHAnsi"/>
          <w:sz w:val="24"/>
          <w:szCs w:val="24"/>
          <w:lang w:val="en-US"/>
        </w:rPr>
      </w:pPr>
    </w:p>
    <w:tbl>
      <w:tblPr>
        <w:tblStyle w:val="TableGrid"/>
        <w:tblW w:w="0" w:type="auto"/>
        <w:jc w:val="center"/>
        <w:tblLook w:val="04A0" w:firstRow="1" w:lastRow="0" w:firstColumn="1" w:lastColumn="0" w:noHBand="0" w:noVBand="1"/>
      </w:tblPr>
      <w:tblGrid>
        <w:gridCol w:w="9016"/>
      </w:tblGrid>
      <w:tr w:rsidR="000F331F" w14:paraId="0E740FB0" w14:textId="77777777" w:rsidTr="003738FD">
        <w:trPr>
          <w:jc w:val="center"/>
        </w:trPr>
        <w:tc>
          <w:tcPr>
            <w:tcW w:w="9016" w:type="dxa"/>
            <w:tcBorders>
              <w:top w:val="nil"/>
              <w:left w:val="nil"/>
              <w:bottom w:val="nil"/>
              <w:right w:val="nil"/>
            </w:tcBorders>
          </w:tcPr>
          <w:p w14:paraId="0C50A12C" w14:textId="77777777" w:rsidR="000F331F" w:rsidRPr="000F331F" w:rsidRDefault="000F331F" w:rsidP="003738FD">
            <w:pPr>
              <w:jc w:val="center"/>
              <w:rPr>
                <w:rFonts w:asciiTheme="majorHAnsi" w:hAnsiTheme="majorHAnsi" w:cstheme="majorHAnsi"/>
                <w:b/>
                <w:color w:val="002060"/>
                <w:sz w:val="26"/>
                <w:szCs w:val="26"/>
                <w:lang w:val="en-US"/>
              </w:rPr>
            </w:pPr>
            <w:r w:rsidRPr="000F331F">
              <w:rPr>
                <w:rFonts w:asciiTheme="majorHAnsi" w:hAnsiTheme="majorHAnsi" w:cstheme="majorHAnsi"/>
                <w:b/>
                <w:color w:val="002060"/>
                <w:sz w:val="26"/>
                <w:szCs w:val="26"/>
                <w:lang w:val="en-US"/>
              </w:rPr>
              <w:t>Figure 2:  Recent Fiscal Balances Trends vs Hurricane Occurrences</w:t>
            </w:r>
          </w:p>
          <w:p w14:paraId="033DA9CB" w14:textId="59FDCE9F" w:rsidR="003738FD" w:rsidRDefault="003738FD" w:rsidP="003738FD">
            <w:pPr>
              <w:jc w:val="center"/>
              <w:rPr>
                <w:rFonts w:asciiTheme="majorHAnsi" w:hAnsiTheme="majorHAnsi" w:cstheme="majorHAnsi"/>
                <w:sz w:val="24"/>
                <w:szCs w:val="24"/>
                <w:lang w:val="en-US"/>
              </w:rPr>
            </w:pPr>
            <w:r>
              <w:rPr>
                <w:rFonts w:asciiTheme="majorHAnsi" w:hAnsiTheme="majorHAnsi" w:cstheme="majorHAnsi"/>
                <w:noProof/>
                <w:sz w:val="24"/>
                <w:szCs w:val="24"/>
                <w:lang w:val="en-AU" w:eastAsia="en-AU"/>
              </w:rPr>
              <w:drawing>
                <wp:inline distT="0" distB="0" distL="0" distR="0" wp14:anchorId="32D1A87D" wp14:editId="62FFA929">
                  <wp:extent cx="4579882" cy="2921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8400" cy="2940155"/>
                          </a:xfrm>
                          <a:prstGeom prst="rect">
                            <a:avLst/>
                          </a:prstGeom>
                          <a:noFill/>
                        </pic:spPr>
                      </pic:pic>
                    </a:graphicData>
                  </a:graphic>
                </wp:inline>
              </w:drawing>
            </w:r>
          </w:p>
          <w:p w14:paraId="4CCA7840" w14:textId="0403075A" w:rsidR="000F331F" w:rsidRDefault="000F331F" w:rsidP="003738FD">
            <w:pPr>
              <w:jc w:val="center"/>
              <w:rPr>
                <w:rFonts w:asciiTheme="majorHAnsi" w:hAnsiTheme="majorHAnsi" w:cstheme="majorHAnsi"/>
                <w:sz w:val="24"/>
                <w:szCs w:val="24"/>
                <w:lang w:val="en-US"/>
              </w:rPr>
            </w:pPr>
            <w:r w:rsidRPr="000F331F">
              <w:rPr>
                <w:rFonts w:asciiTheme="majorHAnsi" w:hAnsiTheme="majorHAnsi" w:cstheme="majorHAnsi"/>
                <w:sz w:val="24"/>
                <w:szCs w:val="24"/>
                <w:lang w:val="en-US"/>
              </w:rPr>
              <w:t>Source: Central Bank of The Bahamas</w:t>
            </w:r>
          </w:p>
        </w:tc>
      </w:tr>
    </w:tbl>
    <w:p w14:paraId="114C44E1" w14:textId="35FB286E" w:rsidR="00886FC5" w:rsidRPr="000F331F" w:rsidRDefault="00886FC5" w:rsidP="000F331F">
      <w:pPr>
        <w:spacing w:after="0" w:line="240" w:lineRule="auto"/>
        <w:jc w:val="both"/>
        <w:rPr>
          <w:rFonts w:asciiTheme="majorHAnsi" w:hAnsiTheme="majorHAnsi" w:cstheme="majorHAnsi"/>
          <w:sz w:val="24"/>
          <w:szCs w:val="24"/>
          <w:lang w:val="en-US"/>
        </w:rPr>
      </w:pPr>
    </w:p>
    <w:p w14:paraId="409BE82E" w14:textId="0509799E" w:rsidR="003738FD" w:rsidRDefault="003738FD">
      <w:pPr>
        <w:rPr>
          <w:rFonts w:asciiTheme="majorHAnsi" w:hAnsiTheme="majorHAnsi" w:cstheme="majorHAnsi"/>
          <w:sz w:val="24"/>
          <w:szCs w:val="24"/>
          <w:lang w:val="en-US"/>
        </w:rPr>
      </w:pPr>
      <w:r>
        <w:rPr>
          <w:rFonts w:asciiTheme="majorHAnsi" w:hAnsiTheme="majorHAnsi" w:cstheme="majorHAnsi"/>
          <w:sz w:val="24"/>
          <w:szCs w:val="24"/>
          <w:lang w:val="en-US"/>
        </w:rPr>
        <w:br w:type="page"/>
      </w:r>
    </w:p>
    <w:p w14:paraId="578B4F34" w14:textId="77777777" w:rsidR="00967F35" w:rsidRPr="000F331F" w:rsidRDefault="00967F35" w:rsidP="000F331F">
      <w:pPr>
        <w:spacing w:after="0" w:line="240" w:lineRule="auto"/>
        <w:jc w:val="both"/>
        <w:rPr>
          <w:rFonts w:asciiTheme="majorHAnsi" w:hAnsiTheme="majorHAnsi" w:cstheme="majorHAnsi"/>
          <w:sz w:val="24"/>
          <w:szCs w:val="24"/>
          <w:lang w:val="en-US"/>
        </w:rPr>
      </w:pPr>
    </w:p>
    <w:tbl>
      <w:tblPr>
        <w:tblStyle w:val="TableGrid"/>
        <w:tblW w:w="0" w:type="auto"/>
        <w:tblLook w:val="04A0" w:firstRow="1" w:lastRow="0" w:firstColumn="1" w:lastColumn="0" w:noHBand="0" w:noVBand="1"/>
      </w:tblPr>
      <w:tblGrid>
        <w:gridCol w:w="9016"/>
      </w:tblGrid>
      <w:tr w:rsidR="003738FD" w14:paraId="4A3BA905" w14:textId="77777777" w:rsidTr="003738FD">
        <w:tc>
          <w:tcPr>
            <w:tcW w:w="9016" w:type="dxa"/>
            <w:tcBorders>
              <w:top w:val="nil"/>
              <w:left w:val="nil"/>
              <w:bottom w:val="nil"/>
              <w:right w:val="nil"/>
            </w:tcBorders>
          </w:tcPr>
          <w:p w14:paraId="43DECBD8" w14:textId="77777777" w:rsidR="003738FD" w:rsidRPr="000F331F" w:rsidRDefault="003738FD" w:rsidP="003738FD">
            <w:pPr>
              <w:jc w:val="center"/>
              <w:rPr>
                <w:rFonts w:asciiTheme="majorHAnsi" w:hAnsiTheme="majorHAnsi" w:cstheme="majorHAnsi"/>
                <w:b/>
                <w:color w:val="002060"/>
                <w:sz w:val="26"/>
                <w:szCs w:val="26"/>
                <w:lang w:val="en-US"/>
              </w:rPr>
            </w:pPr>
            <w:r w:rsidRPr="000F331F">
              <w:rPr>
                <w:rFonts w:asciiTheme="majorHAnsi" w:hAnsiTheme="majorHAnsi" w:cstheme="majorHAnsi"/>
                <w:b/>
                <w:color w:val="002060"/>
                <w:sz w:val="26"/>
                <w:szCs w:val="26"/>
                <w:lang w:val="en-US"/>
              </w:rPr>
              <w:t>Figure 3: Hurricane Induced Re-insurance Inflows</w:t>
            </w:r>
          </w:p>
          <w:p w14:paraId="553EE3D3" w14:textId="295A2CBE" w:rsidR="003738FD" w:rsidRPr="000F331F" w:rsidRDefault="003738FD" w:rsidP="003738FD">
            <w:pPr>
              <w:jc w:val="center"/>
              <w:rPr>
                <w:rFonts w:asciiTheme="majorHAnsi" w:hAnsiTheme="majorHAnsi" w:cstheme="majorHAnsi"/>
                <w:sz w:val="24"/>
                <w:szCs w:val="24"/>
                <w:lang w:val="en-US"/>
              </w:rPr>
            </w:pPr>
            <w:r w:rsidRPr="003738FD">
              <w:rPr>
                <w:rFonts w:asciiTheme="majorHAnsi" w:hAnsiTheme="majorHAnsi" w:cstheme="majorHAnsi"/>
                <w:noProof/>
                <w:sz w:val="24"/>
                <w:szCs w:val="24"/>
                <w:bdr w:val="single" w:sz="4" w:space="0" w:color="auto"/>
                <w:lang w:val="en-AU" w:eastAsia="en-AU"/>
              </w:rPr>
              <w:drawing>
                <wp:inline distT="0" distB="0" distL="0" distR="0" wp14:anchorId="0373322B" wp14:editId="799A71B1">
                  <wp:extent cx="4788437" cy="2766301"/>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1"/>
                          <a:srcRect t="11366"/>
                          <a:stretch/>
                        </pic:blipFill>
                        <pic:spPr bwMode="auto">
                          <a:xfrm>
                            <a:off x="0" y="0"/>
                            <a:ext cx="4791050" cy="2767810"/>
                          </a:xfrm>
                          <a:prstGeom prst="rect">
                            <a:avLst/>
                          </a:prstGeom>
                          <a:ln>
                            <a:noFill/>
                          </a:ln>
                          <a:extLst>
                            <a:ext uri="{53640926-AAD7-44D8-BBD7-CCE9431645EC}">
                              <a14:shadowObscured xmlns:a14="http://schemas.microsoft.com/office/drawing/2010/main"/>
                            </a:ext>
                          </a:extLst>
                        </pic:spPr>
                      </pic:pic>
                    </a:graphicData>
                  </a:graphic>
                </wp:inline>
              </w:drawing>
            </w:r>
          </w:p>
          <w:p w14:paraId="392136AF" w14:textId="7FFBFA08" w:rsidR="003738FD" w:rsidRDefault="003738FD" w:rsidP="003738FD">
            <w:pPr>
              <w:jc w:val="both"/>
              <w:rPr>
                <w:rFonts w:asciiTheme="majorHAnsi" w:hAnsiTheme="majorHAnsi" w:cstheme="majorHAnsi"/>
                <w:sz w:val="24"/>
                <w:szCs w:val="24"/>
                <w:lang w:val="en-US"/>
              </w:rPr>
            </w:pPr>
            <w:r w:rsidRPr="000F331F">
              <w:rPr>
                <w:rFonts w:asciiTheme="majorHAnsi" w:hAnsiTheme="majorHAnsi" w:cstheme="majorHAnsi"/>
                <w:sz w:val="24"/>
                <w:szCs w:val="24"/>
                <w:lang w:val="en-US"/>
              </w:rPr>
              <w:t>Source: Central Bank of the Bahamas and preliminary feedback from insurance industry.</w:t>
            </w:r>
          </w:p>
        </w:tc>
      </w:tr>
    </w:tbl>
    <w:p w14:paraId="4E9A4538" w14:textId="77777777" w:rsidR="00967F35" w:rsidRPr="000F331F" w:rsidRDefault="00967F35" w:rsidP="000F331F">
      <w:pPr>
        <w:spacing w:after="0" w:line="240" w:lineRule="auto"/>
        <w:jc w:val="both"/>
        <w:rPr>
          <w:rFonts w:asciiTheme="majorHAnsi" w:hAnsiTheme="majorHAnsi" w:cstheme="majorHAnsi"/>
          <w:sz w:val="24"/>
          <w:szCs w:val="24"/>
          <w:lang w:val="en-US"/>
        </w:rPr>
      </w:pPr>
    </w:p>
    <w:p w14:paraId="4D886ADC" w14:textId="60A1FE7D" w:rsidR="00E92E72" w:rsidRDefault="00E92E72" w:rsidP="000F331F">
      <w:pPr>
        <w:spacing w:after="0" w:line="240" w:lineRule="auto"/>
        <w:jc w:val="both"/>
        <w:rPr>
          <w:rFonts w:asciiTheme="majorHAnsi" w:hAnsiTheme="majorHAnsi" w:cstheme="majorHAnsi"/>
          <w:sz w:val="24"/>
          <w:szCs w:val="24"/>
          <w:lang w:val="en-US"/>
        </w:rPr>
      </w:pPr>
    </w:p>
    <w:p w14:paraId="41ACE6DD" w14:textId="77777777" w:rsidR="00870E66" w:rsidRDefault="00870E66" w:rsidP="000F331F">
      <w:pPr>
        <w:spacing w:after="0" w:line="240" w:lineRule="auto"/>
        <w:jc w:val="both"/>
        <w:rPr>
          <w:rFonts w:asciiTheme="majorHAnsi" w:hAnsiTheme="majorHAnsi" w:cstheme="majorHAnsi"/>
          <w:sz w:val="24"/>
          <w:szCs w:val="24"/>
          <w:lang w:val="en-US"/>
        </w:rPr>
      </w:pPr>
    </w:p>
    <w:tbl>
      <w:tblPr>
        <w:tblStyle w:val="TableGrid"/>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3738FD" w14:paraId="794B8844" w14:textId="77777777" w:rsidTr="00587ECD">
        <w:tc>
          <w:tcPr>
            <w:tcW w:w="9900" w:type="dxa"/>
          </w:tcPr>
          <w:p w14:paraId="4E1381AC" w14:textId="1D56BC63" w:rsidR="003738FD" w:rsidRDefault="003738FD" w:rsidP="0074337F">
            <w:pPr>
              <w:jc w:val="both"/>
              <w:rPr>
                <w:rFonts w:asciiTheme="majorHAnsi" w:hAnsiTheme="majorHAnsi" w:cstheme="majorHAnsi"/>
                <w:b/>
                <w:color w:val="002060"/>
                <w:sz w:val="26"/>
                <w:szCs w:val="26"/>
                <w:lang w:val="en-US"/>
              </w:rPr>
            </w:pPr>
            <w:r w:rsidRPr="000F331F">
              <w:rPr>
                <w:rFonts w:asciiTheme="majorHAnsi" w:hAnsiTheme="majorHAnsi" w:cstheme="majorHAnsi"/>
                <w:b/>
                <w:color w:val="002060"/>
                <w:sz w:val="26"/>
                <w:szCs w:val="26"/>
                <w:lang w:val="en-US"/>
              </w:rPr>
              <w:t>Figure 4: Commercial Banks — Selected Credit Exposure Indicators</w:t>
            </w:r>
            <w:r>
              <w:rPr>
                <w:rFonts w:asciiTheme="majorHAnsi" w:hAnsiTheme="majorHAnsi" w:cstheme="majorHAnsi"/>
                <w:b/>
                <w:color w:val="002060"/>
                <w:sz w:val="26"/>
                <w:szCs w:val="26"/>
                <w:lang w:val="en-US"/>
              </w:rPr>
              <w:t xml:space="preserve"> (2019)</w:t>
            </w:r>
          </w:p>
          <w:p w14:paraId="2385D751" w14:textId="77777777" w:rsidR="00870E66" w:rsidRDefault="00870E66" w:rsidP="0074337F">
            <w:pPr>
              <w:jc w:val="both"/>
              <w:rPr>
                <w:rFonts w:asciiTheme="majorHAnsi" w:hAnsiTheme="majorHAnsi" w:cstheme="majorHAnsi"/>
                <w:b/>
                <w:color w:val="002060"/>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4476"/>
            </w:tblGrid>
            <w:tr w:rsidR="00587ECD" w14:paraId="0255B3A5" w14:textId="77777777" w:rsidTr="00587ECD">
              <w:tc>
                <w:tcPr>
                  <w:tcW w:w="5109" w:type="dxa"/>
                </w:tcPr>
                <w:p w14:paraId="62C2EB8B" w14:textId="560BB0C1" w:rsidR="003738FD" w:rsidRPr="003738FD" w:rsidRDefault="003738FD" w:rsidP="003738FD">
                  <w:pPr>
                    <w:jc w:val="center"/>
                    <w:rPr>
                      <w:rFonts w:asciiTheme="majorHAnsi" w:hAnsiTheme="majorHAnsi" w:cstheme="majorHAnsi"/>
                      <w:b/>
                      <w:szCs w:val="24"/>
                      <w:lang w:val="en-US"/>
                    </w:rPr>
                  </w:pPr>
                  <w:r>
                    <w:rPr>
                      <w:rFonts w:asciiTheme="majorHAnsi" w:hAnsiTheme="majorHAnsi" w:cstheme="majorHAnsi"/>
                      <w:b/>
                      <w:szCs w:val="24"/>
                      <w:lang w:val="en-US"/>
                    </w:rPr>
                    <w:t>4A:</w:t>
                  </w:r>
                  <w:r w:rsidRPr="003738FD">
                    <w:rPr>
                      <w:rFonts w:asciiTheme="majorHAnsi" w:hAnsiTheme="majorHAnsi" w:cstheme="majorHAnsi"/>
                      <w:b/>
                      <w:szCs w:val="24"/>
                      <w:lang w:val="en-US"/>
                    </w:rPr>
                    <w:t>Credit Shares by Island</w:t>
                  </w:r>
                </w:p>
                <w:p w14:paraId="483D78E0" w14:textId="201AA573" w:rsidR="003738FD" w:rsidRPr="003738FD" w:rsidRDefault="006F51D2" w:rsidP="003738FD">
                  <w:pPr>
                    <w:jc w:val="center"/>
                    <w:rPr>
                      <w:rFonts w:asciiTheme="majorHAnsi" w:hAnsiTheme="majorHAnsi" w:cstheme="majorHAnsi"/>
                      <w:b/>
                      <w:szCs w:val="24"/>
                      <w:lang w:val="en-US"/>
                    </w:rPr>
                  </w:pPr>
                  <w:r>
                    <w:rPr>
                      <w:rFonts w:asciiTheme="majorHAnsi" w:hAnsiTheme="majorHAnsi" w:cstheme="majorHAnsi"/>
                      <w:b/>
                      <w:noProof/>
                      <w:szCs w:val="24"/>
                      <w:lang w:val="en-AU" w:eastAsia="en-AU"/>
                    </w:rPr>
                    <w:drawing>
                      <wp:inline distT="0" distB="0" distL="0" distR="0" wp14:anchorId="3A102A90" wp14:editId="47097242">
                        <wp:extent cx="2822393" cy="21874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304" t="11231"/>
                                <a:stretch/>
                              </pic:blipFill>
                              <pic:spPr bwMode="auto">
                                <a:xfrm>
                                  <a:off x="0" y="0"/>
                                  <a:ext cx="2849103" cy="22081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46" w:type="dxa"/>
                </w:tcPr>
                <w:p w14:paraId="7E781A60" w14:textId="355CA42E" w:rsidR="003738FD" w:rsidRDefault="003738FD" w:rsidP="00587ECD">
                  <w:pPr>
                    <w:jc w:val="center"/>
                    <w:rPr>
                      <w:rFonts w:asciiTheme="majorHAnsi" w:hAnsiTheme="majorHAnsi" w:cstheme="majorHAnsi"/>
                      <w:b/>
                      <w:szCs w:val="24"/>
                      <w:lang w:val="en-US"/>
                    </w:rPr>
                  </w:pPr>
                  <w:r>
                    <w:rPr>
                      <w:rFonts w:asciiTheme="majorHAnsi" w:hAnsiTheme="majorHAnsi" w:cstheme="majorHAnsi"/>
                      <w:b/>
                      <w:szCs w:val="24"/>
                      <w:lang w:val="en-US"/>
                    </w:rPr>
                    <w:t>4B: Non-Performing Loans (NPL) Rate</w:t>
                  </w:r>
                </w:p>
                <w:p w14:paraId="3E134C8E" w14:textId="77777777" w:rsidR="00587ECD" w:rsidRPr="003738FD" w:rsidRDefault="00587ECD" w:rsidP="00587ECD">
                  <w:pPr>
                    <w:jc w:val="center"/>
                    <w:rPr>
                      <w:rFonts w:asciiTheme="majorHAnsi" w:hAnsiTheme="majorHAnsi" w:cstheme="majorHAnsi"/>
                      <w:b/>
                      <w:szCs w:val="24"/>
                      <w:lang w:val="en-US"/>
                    </w:rPr>
                  </w:pPr>
                </w:p>
                <w:p w14:paraId="79530E3A" w14:textId="11922E86" w:rsidR="003738FD" w:rsidRPr="003738FD" w:rsidRDefault="003738FD" w:rsidP="00587ECD">
                  <w:pPr>
                    <w:jc w:val="center"/>
                    <w:rPr>
                      <w:rFonts w:asciiTheme="majorHAnsi" w:hAnsiTheme="majorHAnsi" w:cstheme="majorHAnsi"/>
                      <w:b/>
                      <w:szCs w:val="24"/>
                      <w:lang w:val="en-US"/>
                    </w:rPr>
                  </w:pPr>
                  <w:r>
                    <w:rPr>
                      <w:rFonts w:asciiTheme="majorHAnsi" w:hAnsiTheme="majorHAnsi" w:cstheme="majorHAnsi"/>
                      <w:b/>
                      <w:noProof/>
                      <w:szCs w:val="24"/>
                      <w:lang w:val="en-AU" w:eastAsia="en-AU"/>
                    </w:rPr>
                    <w:drawing>
                      <wp:inline distT="0" distB="0" distL="0" distR="0" wp14:anchorId="528DABA6" wp14:editId="69E3A91A">
                        <wp:extent cx="2704347" cy="2029811"/>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5211"/>
                                <a:stretch/>
                              </pic:blipFill>
                              <pic:spPr bwMode="auto">
                                <a:xfrm>
                                  <a:off x="0" y="0"/>
                                  <a:ext cx="2720457" cy="204190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D6272E8" w14:textId="77777777" w:rsidR="003738FD" w:rsidRPr="000F331F" w:rsidRDefault="003738FD" w:rsidP="003738FD">
            <w:pPr>
              <w:jc w:val="both"/>
              <w:rPr>
                <w:rFonts w:asciiTheme="majorHAnsi" w:hAnsiTheme="majorHAnsi" w:cstheme="majorHAnsi"/>
                <w:sz w:val="24"/>
                <w:szCs w:val="24"/>
                <w:lang w:val="en-US"/>
              </w:rPr>
            </w:pPr>
          </w:p>
          <w:p w14:paraId="2C66A819" w14:textId="60A5400C" w:rsidR="003738FD" w:rsidRDefault="00587ECD" w:rsidP="003738FD">
            <w:pPr>
              <w:jc w:val="both"/>
              <w:rPr>
                <w:rFonts w:asciiTheme="majorHAnsi" w:hAnsiTheme="majorHAnsi" w:cstheme="majorHAnsi"/>
                <w:sz w:val="24"/>
                <w:szCs w:val="24"/>
                <w:lang w:val="en-US"/>
              </w:rPr>
            </w:pPr>
            <w:r>
              <w:rPr>
                <w:rFonts w:asciiTheme="majorHAnsi" w:hAnsiTheme="majorHAnsi" w:cstheme="majorHAnsi"/>
                <w:sz w:val="24"/>
                <w:szCs w:val="24"/>
                <w:lang w:val="en-US"/>
              </w:rPr>
              <w:t>Source: Central Bank of T</w:t>
            </w:r>
            <w:r w:rsidR="003738FD" w:rsidRPr="000F331F">
              <w:rPr>
                <w:rFonts w:asciiTheme="majorHAnsi" w:hAnsiTheme="majorHAnsi" w:cstheme="majorHAnsi"/>
                <w:sz w:val="24"/>
                <w:szCs w:val="24"/>
                <w:lang w:val="en-US"/>
              </w:rPr>
              <w:t>he Bahamas survey.</w:t>
            </w:r>
          </w:p>
        </w:tc>
      </w:tr>
    </w:tbl>
    <w:p w14:paraId="6239536C" w14:textId="77777777" w:rsidR="003738FD" w:rsidRPr="000F331F" w:rsidRDefault="003738FD" w:rsidP="000F331F">
      <w:pPr>
        <w:spacing w:after="0" w:line="240" w:lineRule="auto"/>
        <w:jc w:val="both"/>
        <w:rPr>
          <w:rFonts w:asciiTheme="majorHAnsi" w:hAnsiTheme="majorHAnsi" w:cstheme="majorHAnsi"/>
          <w:sz w:val="24"/>
          <w:szCs w:val="24"/>
          <w:lang w:val="en-US"/>
        </w:rPr>
      </w:pPr>
    </w:p>
    <w:p w14:paraId="50DA87AF" w14:textId="77777777" w:rsidR="00ED42BA" w:rsidRPr="000F331F" w:rsidRDefault="00ED42BA" w:rsidP="000F331F">
      <w:pPr>
        <w:spacing w:after="0" w:line="240" w:lineRule="auto"/>
        <w:jc w:val="both"/>
        <w:rPr>
          <w:rFonts w:asciiTheme="majorHAnsi" w:hAnsiTheme="majorHAnsi" w:cstheme="majorHAnsi"/>
          <w:sz w:val="24"/>
          <w:szCs w:val="24"/>
          <w:lang w:val="en-US"/>
        </w:rPr>
      </w:pPr>
    </w:p>
    <w:sectPr w:rsidR="00ED42BA" w:rsidRPr="000F331F">
      <w:footerReference w:type="even"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0E522" w14:textId="77777777" w:rsidR="000B4572" w:rsidRDefault="000B4572" w:rsidP="003A347B">
      <w:pPr>
        <w:spacing w:after="0" w:line="240" w:lineRule="auto"/>
      </w:pPr>
      <w:r>
        <w:separator/>
      </w:r>
    </w:p>
  </w:endnote>
  <w:endnote w:type="continuationSeparator" w:id="0">
    <w:p w14:paraId="39622090" w14:textId="77777777" w:rsidR="000B4572" w:rsidRDefault="000B4572" w:rsidP="003A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16647849"/>
      <w:docPartObj>
        <w:docPartGallery w:val="Page Numbers (Bottom of Page)"/>
        <w:docPartUnique/>
      </w:docPartObj>
    </w:sdtPr>
    <w:sdtEndPr>
      <w:rPr>
        <w:rStyle w:val="PageNumber"/>
      </w:rPr>
    </w:sdtEndPr>
    <w:sdtContent>
      <w:p w14:paraId="5C95A94D" w14:textId="5C33B4DD" w:rsidR="00A25D61" w:rsidRDefault="00A25D61" w:rsidP="005B69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59B82D" w14:textId="77777777" w:rsidR="004F1182" w:rsidRDefault="004F11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18045976"/>
      <w:docPartObj>
        <w:docPartGallery w:val="Page Numbers (Bottom of Page)"/>
        <w:docPartUnique/>
      </w:docPartObj>
    </w:sdtPr>
    <w:sdtEndPr>
      <w:rPr>
        <w:rStyle w:val="PageNumber"/>
      </w:rPr>
    </w:sdtEndPr>
    <w:sdtContent>
      <w:p w14:paraId="5B17EAEA" w14:textId="09EF7BA2" w:rsidR="00A25D61" w:rsidRDefault="00A25D61" w:rsidP="005B69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C7096">
          <w:rPr>
            <w:rStyle w:val="PageNumber"/>
            <w:noProof/>
          </w:rPr>
          <w:t>1</w:t>
        </w:r>
        <w:r>
          <w:rPr>
            <w:rStyle w:val="PageNumber"/>
          </w:rPr>
          <w:fldChar w:fldCharType="end"/>
        </w:r>
      </w:p>
    </w:sdtContent>
  </w:sdt>
  <w:p w14:paraId="30CF8156" w14:textId="77777777" w:rsidR="004F1182" w:rsidRDefault="004F11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44CC2" w14:textId="77777777" w:rsidR="000B4572" w:rsidRDefault="000B4572" w:rsidP="003A347B">
      <w:pPr>
        <w:spacing w:after="0" w:line="240" w:lineRule="auto"/>
      </w:pPr>
      <w:r>
        <w:separator/>
      </w:r>
    </w:p>
  </w:footnote>
  <w:footnote w:type="continuationSeparator" w:id="0">
    <w:p w14:paraId="17CDA3A0" w14:textId="77777777" w:rsidR="000B4572" w:rsidRDefault="000B4572" w:rsidP="003A347B">
      <w:pPr>
        <w:spacing w:after="0" w:line="240" w:lineRule="auto"/>
      </w:pPr>
      <w:r>
        <w:continuationSeparator/>
      </w:r>
    </w:p>
  </w:footnote>
  <w:footnote w:id="1">
    <w:p w14:paraId="196BBC04" w14:textId="77D1401F" w:rsidR="00C3007C" w:rsidRPr="0010792A" w:rsidRDefault="00C3007C">
      <w:pPr>
        <w:pStyle w:val="FootnoteText"/>
        <w:rPr>
          <w:lang w:val="en-US"/>
        </w:rPr>
      </w:pPr>
      <w:r>
        <w:rPr>
          <w:rStyle w:val="FootnoteReference"/>
        </w:rPr>
        <w:footnoteRef/>
      </w:r>
      <w:r>
        <w:t xml:space="preserve"> </w:t>
      </w:r>
      <w:r>
        <w:rPr>
          <w:lang w:val="en-US"/>
        </w:rPr>
        <w:t>Disaster response for the Government normally included major expenditures on infrastructure rebuilding, social and humanitarian assistance, subsidies to un-insured and underinsured households and tax concessions on private sector recovery expenditures.  At the same time, base of remaining taxable commercial activities decreases.</w:t>
      </w:r>
    </w:p>
  </w:footnote>
  <w:footnote w:id="2">
    <w:p w14:paraId="110992F0" w14:textId="4998E69C" w:rsidR="0063018C" w:rsidRPr="0063018C" w:rsidRDefault="0063018C" w:rsidP="0063018C">
      <w:pPr>
        <w:pStyle w:val="FootnoteText"/>
      </w:pPr>
      <w:r>
        <w:rPr>
          <w:rStyle w:val="FootnoteReference"/>
        </w:rPr>
        <w:footnoteRef/>
      </w:r>
      <w:r>
        <w:t xml:space="preserve"> </w:t>
      </w:r>
      <w:r w:rsidRPr="0063018C">
        <w:t>It should be emphasized, however, that MTBs were made aware of the continued expectation to exercise due care and attention to prevent the occurrence of fraudulent activities in order to safeguard the integrity of the financial sector.</w:t>
      </w:r>
    </w:p>
  </w:footnote>
  <w:footnote w:id="3">
    <w:p w14:paraId="7F0CFF16" w14:textId="405111C7" w:rsidR="004E734C" w:rsidRPr="004E734C" w:rsidRDefault="004E734C" w:rsidP="00E23861">
      <w:pPr>
        <w:pStyle w:val="FootnoteText"/>
        <w:jc w:val="both"/>
        <w:rPr>
          <w:lang w:val="en-US"/>
        </w:rPr>
      </w:pPr>
      <w:r>
        <w:rPr>
          <w:rStyle w:val="FootnoteReference"/>
        </w:rPr>
        <w:footnoteRef/>
      </w:r>
      <w:r>
        <w:t xml:space="preserve"> </w:t>
      </w:r>
      <w:r>
        <w:rPr>
          <w:lang w:val="en-US"/>
        </w:rPr>
        <w:t>These simulations were refined in close collaboration with the IMF, during the recent Financial Sector Assessment Program (FSAP) mission.</w:t>
      </w:r>
    </w:p>
  </w:footnote>
  <w:footnote w:id="4">
    <w:p w14:paraId="1145E40F" w14:textId="29E50C9A" w:rsidR="00C3007C" w:rsidRPr="00E94AFF" w:rsidRDefault="00C3007C" w:rsidP="004E734C">
      <w:pPr>
        <w:pStyle w:val="FootnoteText"/>
        <w:jc w:val="both"/>
        <w:rPr>
          <w:lang w:val="en-US"/>
        </w:rPr>
      </w:pPr>
      <w:r>
        <w:rPr>
          <w:rStyle w:val="FootnoteReference"/>
        </w:rPr>
        <w:footnoteRef/>
      </w:r>
      <w:r>
        <w:t xml:space="preserve"> </w:t>
      </w:r>
      <w:r>
        <w:rPr>
          <w:lang w:val="en-US"/>
        </w:rPr>
        <w:t>C</w:t>
      </w:r>
      <w:r w:rsidRPr="00E94AFF">
        <w:t xml:space="preserve">redit </w:t>
      </w:r>
      <w:r>
        <w:rPr>
          <w:lang w:val="en-US"/>
        </w:rPr>
        <w:t xml:space="preserve">exposures to </w:t>
      </w:r>
      <w:r w:rsidRPr="00E94AFF">
        <w:t xml:space="preserve">Grand Bahama and Abaco </w:t>
      </w:r>
      <w:r w:rsidR="00A832F0" w:rsidRPr="00E94AFF">
        <w:t>totalled</w:t>
      </w:r>
      <w:r w:rsidRPr="00E94AFF">
        <w:t xml:space="preserve"> $658.8 million and $170.8 million, respectively.  Moreover, residential mortgages represented 54.8% of the aggregate portfolio ($343.9 million in Grand Bahama and $111.0 million in Abaco)</w:t>
      </w:r>
      <w:r>
        <w:rPr>
          <w:lang w:val="en-US"/>
        </w:rPr>
        <w:t>.</w:t>
      </w:r>
    </w:p>
  </w:footnote>
  <w:footnote w:id="5">
    <w:p w14:paraId="16C75FD3" w14:textId="3326AA33" w:rsidR="00F62A14" w:rsidRPr="00F62A14" w:rsidRDefault="00F62A14" w:rsidP="008312E4">
      <w:pPr>
        <w:pStyle w:val="FootnoteText"/>
        <w:jc w:val="both"/>
        <w:rPr>
          <w:lang w:val="en-US"/>
        </w:rPr>
      </w:pPr>
      <w:r>
        <w:rPr>
          <w:rStyle w:val="FootnoteReference"/>
        </w:rPr>
        <w:footnoteRef/>
      </w:r>
      <w:r>
        <w:t xml:space="preserve"> </w:t>
      </w:r>
      <w:r>
        <w:rPr>
          <w:lang w:val="en-US"/>
        </w:rPr>
        <w:t>This is a debt management strategy collectively agreed between the Central Bank and the Ministry of Finance, in order to offset any balance of payment strain from import financing around rebuilding activities.</w:t>
      </w:r>
    </w:p>
  </w:footnote>
  <w:footnote w:id="6">
    <w:p w14:paraId="0C032950" w14:textId="16AB9497" w:rsidR="00C3007C" w:rsidRPr="00522BAE" w:rsidRDefault="00C3007C" w:rsidP="002F09D6">
      <w:pPr>
        <w:pStyle w:val="FootnoteText"/>
        <w:jc w:val="both"/>
        <w:rPr>
          <w:lang w:val="en-US"/>
        </w:rPr>
      </w:pPr>
      <w:r>
        <w:rPr>
          <w:rStyle w:val="FootnoteReference"/>
        </w:rPr>
        <w:footnoteRef/>
      </w:r>
      <w:r>
        <w:t xml:space="preserve"> </w:t>
      </w:r>
      <w:r>
        <w:rPr>
          <w:lang w:val="en-US"/>
        </w:rPr>
        <w:t>P</w:t>
      </w:r>
      <w:r w:rsidRPr="00522BAE">
        <w:t>hysical resilience encompasses structural measures aimed at mitigating the impacts of natural disasters.  It includes investment in infrastructure including new structures</w:t>
      </w:r>
      <w:r w:rsidR="004749B3">
        <w:rPr>
          <w:lang w:val="en-GB"/>
        </w:rPr>
        <w:t xml:space="preserve">, </w:t>
      </w:r>
      <w:r w:rsidRPr="00522BAE">
        <w:t>upgrades to existing ones</w:t>
      </w:r>
      <w:r w:rsidR="004749B3">
        <w:rPr>
          <w:lang w:val="en-GB"/>
        </w:rPr>
        <w:t>;</w:t>
      </w:r>
      <w:r w:rsidRPr="00522BAE">
        <w:t xml:space="preserve"> </w:t>
      </w:r>
      <w:r w:rsidR="004749B3">
        <w:rPr>
          <w:lang w:val="en-GB"/>
        </w:rPr>
        <w:t xml:space="preserve">and </w:t>
      </w:r>
      <w:r w:rsidRPr="00522BAE">
        <w:t xml:space="preserve">developing and fine tuning policies related to zoning, building codes, land use, early warning systems and “risk maps”.  The social resilience element comes into play post-disaster.  It involves the response of the government, wider community and relevant organizations to the various humanitarian needs that exist following the occurrence of a natural disaster.  The relevant authorities must be able to ensure minimal interruption in national security, emergency medical care services and essential utilities.  Additionally, </w:t>
      </w:r>
      <w:r w:rsidR="002C6996">
        <w:rPr>
          <w:lang w:val="en-GB"/>
        </w:rPr>
        <w:t xml:space="preserve">the established frameworks must ensure  </w:t>
      </w:r>
      <w:r w:rsidRPr="00522BAE">
        <w:t>that aid to the adversely affected population is efficiently distributed without undue delays and abuses.</w:t>
      </w:r>
    </w:p>
  </w:footnote>
  <w:footnote w:id="7">
    <w:p w14:paraId="02EA8289" w14:textId="04BEF98D" w:rsidR="00C3007C" w:rsidRPr="00522BAE" w:rsidRDefault="00C3007C" w:rsidP="002F09D6">
      <w:pPr>
        <w:pStyle w:val="FootnoteText"/>
        <w:jc w:val="both"/>
      </w:pPr>
      <w:r>
        <w:rPr>
          <w:rStyle w:val="FootnoteReference"/>
        </w:rPr>
        <w:footnoteRef/>
      </w:r>
      <w:r>
        <w:t xml:space="preserve"> </w:t>
      </w:r>
      <w:r>
        <w:rPr>
          <w:lang w:val="en-US"/>
        </w:rPr>
        <w:t xml:space="preserve">In April 2019, the Government secured access </w:t>
      </w:r>
      <w:r w:rsidR="009E626A">
        <w:rPr>
          <w:lang w:val="en-US"/>
        </w:rPr>
        <w:t xml:space="preserve">to </w:t>
      </w:r>
      <w:r w:rsidRPr="00522BAE">
        <w:t>a contingent loan</w:t>
      </w:r>
      <w:r w:rsidR="009E626A">
        <w:rPr>
          <w:lang w:val="en-GB"/>
        </w:rPr>
        <w:t xml:space="preserve"> from the IADB</w:t>
      </w:r>
      <w:r w:rsidRPr="00522BAE">
        <w:t xml:space="preserve"> for natural disasters in the amount of $100 million</w:t>
      </w:r>
      <w:r>
        <w:rPr>
          <w:lang w:val="en-US"/>
        </w:rPr>
        <w:t>.</w:t>
      </w:r>
      <w:r w:rsidRPr="00522BAE">
        <w:t xml:space="preserve"> </w:t>
      </w:r>
      <w:r>
        <w:rPr>
          <w:lang w:val="en-US"/>
        </w:rPr>
        <w:t xml:space="preserve"> A</w:t>
      </w:r>
      <w:r w:rsidRPr="00522BAE">
        <w:t>ccess following the passage of Hurricane Dorian</w:t>
      </w:r>
      <w:r>
        <w:rPr>
          <w:lang w:val="en-US"/>
        </w:rPr>
        <w:t xml:space="preserve"> will finance disaster recovery expenses, including on infrastructure repair and social and humanitarian assistance</w:t>
      </w:r>
      <w:r w:rsidRPr="00522BAE">
        <w:t>.</w:t>
      </w:r>
    </w:p>
  </w:footnote>
  <w:footnote w:id="8">
    <w:p w14:paraId="2CC8DDA5" w14:textId="4A72E45C" w:rsidR="00C3007C" w:rsidRPr="005A236E" w:rsidRDefault="00C3007C" w:rsidP="00E407E3">
      <w:pPr>
        <w:pStyle w:val="FootnoteText"/>
        <w:jc w:val="both"/>
        <w:rPr>
          <w:lang w:val="en-US"/>
        </w:rPr>
      </w:pPr>
      <w:r>
        <w:rPr>
          <w:rStyle w:val="FootnoteReference"/>
        </w:rPr>
        <w:footnoteRef/>
      </w:r>
      <w:r>
        <w:t xml:space="preserve"> </w:t>
      </w:r>
      <w:r w:rsidR="002F09D6" w:rsidRPr="002F09D6">
        <w:t xml:space="preserve">The Bahamas will also be able to continue to leverage support from the international community, of which </w:t>
      </w:r>
      <w:r w:rsidR="00E407E3">
        <w:rPr>
          <w:lang w:val="en-GB"/>
        </w:rPr>
        <w:t>it is</w:t>
      </w:r>
      <w:r w:rsidR="002F09D6" w:rsidRPr="002F09D6">
        <w:t xml:space="preserve"> a part and to which </w:t>
      </w:r>
      <w:r w:rsidR="00E56C23">
        <w:rPr>
          <w:lang w:val="en-GB"/>
        </w:rPr>
        <w:t>the country</w:t>
      </w:r>
      <w:r w:rsidR="002F09D6" w:rsidRPr="002F09D6">
        <w:t xml:space="preserve"> also contribute</w:t>
      </w:r>
      <w:r w:rsidR="00E56C23">
        <w:rPr>
          <w:lang w:val="en-GB"/>
        </w:rPr>
        <w:t>s</w:t>
      </w:r>
      <w:r w:rsidR="002F09D6" w:rsidRPr="002F09D6">
        <w:t xml:space="preserve"> when others face tragedies.  It </w:t>
      </w:r>
      <w:r w:rsidR="002F09D6">
        <w:rPr>
          <w:lang w:val="en-US"/>
        </w:rPr>
        <w:t xml:space="preserve">includes </w:t>
      </w:r>
      <w:r w:rsidR="002F09D6" w:rsidRPr="002F09D6">
        <w:t xml:space="preserve">invaluable access to technical assistance, specialized skills that permit accelerated the </w:t>
      </w:r>
      <w:r w:rsidR="002F09D6">
        <w:t>rebuilding, and generous financial</w:t>
      </w:r>
      <w:r w:rsidR="002F09D6" w:rsidRPr="002F09D6">
        <w:t xml:space="preserve"> donations</w:t>
      </w:r>
      <w:r w:rsidRPr="005A236E">
        <w:t xml:space="preserve">.  </w:t>
      </w:r>
    </w:p>
  </w:footnote>
  <w:footnote w:id="9">
    <w:p w14:paraId="6E6489B7" w14:textId="2D87E2AB" w:rsidR="00C3007C" w:rsidRPr="00E378A1" w:rsidRDefault="00C3007C" w:rsidP="00E407E3">
      <w:pPr>
        <w:pStyle w:val="FootnoteText"/>
        <w:jc w:val="both"/>
        <w:rPr>
          <w:lang w:val="en-US"/>
        </w:rPr>
      </w:pPr>
      <w:r>
        <w:rPr>
          <w:rStyle w:val="FootnoteReference"/>
        </w:rPr>
        <w:footnoteRef/>
      </w:r>
      <w:r>
        <w:t xml:space="preserve"> </w:t>
      </w:r>
      <w:r>
        <w:rPr>
          <w:lang w:val="en-US"/>
        </w:rPr>
        <w:t>After the Hurricane, technical assistance materialized from within the regional multiple disaster response agencies within CARICOM, the various United Nations bodies, the IMF, IDB and the World Bank.  Technical assistance weighted heavily in all responses.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A0810"/>
    <w:multiLevelType w:val="hybridMultilevel"/>
    <w:tmpl w:val="1E121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2F"/>
    <w:rsid w:val="000031DC"/>
    <w:rsid w:val="00024C79"/>
    <w:rsid w:val="00024D50"/>
    <w:rsid w:val="00026B6E"/>
    <w:rsid w:val="000341E4"/>
    <w:rsid w:val="00036025"/>
    <w:rsid w:val="00040533"/>
    <w:rsid w:val="00043EB0"/>
    <w:rsid w:val="00045BA9"/>
    <w:rsid w:val="00051D05"/>
    <w:rsid w:val="00066B54"/>
    <w:rsid w:val="00070677"/>
    <w:rsid w:val="00082212"/>
    <w:rsid w:val="00083744"/>
    <w:rsid w:val="00090D2F"/>
    <w:rsid w:val="000A5522"/>
    <w:rsid w:val="000B1637"/>
    <w:rsid w:val="000B4352"/>
    <w:rsid w:val="000B4572"/>
    <w:rsid w:val="000C0A22"/>
    <w:rsid w:val="000C3AB2"/>
    <w:rsid w:val="000D1BDD"/>
    <w:rsid w:val="000D5567"/>
    <w:rsid w:val="000D6385"/>
    <w:rsid w:val="000D723E"/>
    <w:rsid w:val="000E1AD1"/>
    <w:rsid w:val="000E1F6F"/>
    <w:rsid w:val="000F331F"/>
    <w:rsid w:val="00100926"/>
    <w:rsid w:val="00101AF1"/>
    <w:rsid w:val="00104045"/>
    <w:rsid w:val="001076DE"/>
    <w:rsid w:val="0010792A"/>
    <w:rsid w:val="00110A9B"/>
    <w:rsid w:val="0011636E"/>
    <w:rsid w:val="00132847"/>
    <w:rsid w:val="00136626"/>
    <w:rsid w:val="00140CC1"/>
    <w:rsid w:val="00141769"/>
    <w:rsid w:val="00150DB7"/>
    <w:rsid w:val="00162BCF"/>
    <w:rsid w:val="00167AD5"/>
    <w:rsid w:val="001711C1"/>
    <w:rsid w:val="001731A7"/>
    <w:rsid w:val="00175168"/>
    <w:rsid w:val="00175715"/>
    <w:rsid w:val="00180C60"/>
    <w:rsid w:val="00192BB8"/>
    <w:rsid w:val="00195BDA"/>
    <w:rsid w:val="0019723C"/>
    <w:rsid w:val="001A5B17"/>
    <w:rsid w:val="001B0FBF"/>
    <w:rsid w:val="001B3C9E"/>
    <w:rsid w:val="001D00DA"/>
    <w:rsid w:val="001D2443"/>
    <w:rsid w:val="001D5403"/>
    <w:rsid w:val="0020299B"/>
    <w:rsid w:val="00207CA1"/>
    <w:rsid w:val="00210289"/>
    <w:rsid w:val="002102B3"/>
    <w:rsid w:val="002110E1"/>
    <w:rsid w:val="00212E3C"/>
    <w:rsid w:val="00222ED3"/>
    <w:rsid w:val="00234EB5"/>
    <w:rsid w:val="00242EF1"/>
    <w:rsid w:val="00246494"/>
    <w:rsid w:val="00247EDE"/>
    <w:rsid w:val="002509DA"/>
    <w:rsid w:val="0025248D"/>
    <w:rsid w:val="00254216"/>
    <w:rsid w:val="00263791"/>
    <w:rsid w:val="0027212E"/>
    <w:rsid w:val="00273886"/>
    <w:rsid w:val="00291767"/>
    <w:rsid w:val="00291A7E"/>
    <w:rsid w:val="002B6023"/>
    <w:rsid w:val="002C1F84"/>
    <w:rsid w:val="002C6996"/>
    <w:rsid w:val="002D06F1"/>
    <w:rsid w:val="002D2FFC"/>
    <w:rsid w:val="002E1DAC"/>
    <w:rsid w:val="002E1DDA"/>
    <w:rsid w:val="002E3BFE"/>
    <w:rsid w:val="002F09D6"/>
    <w:rsid w:val="002F2EC9"/>
    <w:rsid w:val="00301E68"/>
    <w:rsid w:val="00302B4B"/>
    <w:rsid w:val="00307409"/>
    <w:rsid w:val="003167F1"/>
    <w:rsid w:val="00332163"/>
    <w:rsid w:val="00332F56"/>
    <w:rsid w:val="00334EC1"/>
    <w:rsid w:val="003511FB"/>
    <w:rsid w:val="00352742"/>
    <w:rsid w:val="00352A66"/>
    <w:rsid w:val="00367CB7"/>
    <w:rsid w:val="003738FD"/>
    <w:rsid w:val="00373900"/>
    <w:rsid w:val="0037784A"/>
    <w:rsid w:val="003907A4"/>
    <w:rsid w:val="00393851"/>
    <w:rsid w:val="003A347B"/>
    <w:rsid w:val="003A4FFE"/>
    <w:rsid w:val="003B342F"/>
    <w:rsid w:val="003C27BA"/>
    <w:rsid w:val="003C6BD6"/>
    <w:rsid w:val="003C6C7F"/>
    <w:rsid w:val="003C6FD8"/>
    <w:rsid w:val="003E71E1"/>
    <w:rsid w:val="003F23B3"/>
    <w:rsid w:val="003F2D59"/>
    <w:rsid w:val="003F32A0"/>
    <w:rsid w:val="004028D6"/>
    <w:rsid w:val="0040518F"/>
    <w:rsid w:val="00411931"/>
    <w:rsid w:val="0041379D"/>
    <w:rsid w:val="004148AD"/>
    <w:rsid w:val="004206B4"/>
    <w:rsid w:val="00422D04"/>
    <w:rsid w:val="00423E25"/>
    <w:rsid w:val="004246EB"/>
    <w:rsid w:val="0042748D"/>
    <w:rsid w:val="004310DC"/>
    <w:rsid w:val="004320B9"/>
    <w:rsid w:val="0043649C"/>
    <w:rsid w:val="004444F1"/>
    <w:rsid w:val="00444E4E"/>
    <w:rsid w:val="004507B4"/>
    <w:rsid w:val="00461625"/>
    <w:rsid w:val="00467E37"/>
    <w:rsid w:val="004749B3"/>
    <w:rsid w:val="004815A4"/>
    <w:rsid w:val="004828D1"/>
    <w:rsid w:val="0048502B"/>
    <w:rsid w:val="00492253"/>
    <w:rsid w:val="004924D8"/>
    <w:rsid w:val="00492655"/>
    <w:rsid w:val="004A03F5"/>
    <w:rsid w:val="004A2C37"/>
    <w:rsid w:val="004B7583"/>
    <w:rsid w:val="004C7096"/>
    <w:rsid w:val="004D7F77"/>
    <w:rsid w:val="004E1B3F"/>
    <w:rsid w:val="004E2F17"/>
    <w:rsid w:val="004E5F27"/>
    <w:rsid w:val="004E6AD4"/>
    <w:rsid w:val="004E72D1"/>
    <w:rsid w:val="004E734C"/>
    <w:rsid w:val="004F1182"/>
    <w:rsid w:val="004F2750"/>
    <w:rsid w:val="004F3C8A"/>
    <w:rsid w:val="004F6814"/>
    <w:rsid w:val="00504F82"/>
    <w:rsid w:val="00506235"/>
    <w:rsid w:val="005106FC"/>
    <w:rsid w:val="0051561B"/>
    <w:rsid w:val="00517E0B"/>
    <w:rsid w:val="00522BAE"/>
    <w:rsid w:val="005254F7"/>
    <w:rsid w:val="00544572"/>
    <w:rsid w:val="00545592"/>
    <w:rsid w:val="00562D27"/>
    <w:rsid w:val="005720F7"/>
    <w:rsid w:val="00587ECD"/>
    <w:rsid w:val="00592174"/>
    <w:rsid w:val="00593CD0"/>
    <w:rsid w:val="005A13BE"/>
    <w:rsid w:val="005A236E"/>
    <w:rsid w:val="005A6C8E"/>
    <w:rsid w:val="005A6CB1"/>
    <w:rsid w:val="005A6DE3"/>
    <w:rsid w:val="005B111B"/>
    <w:rsid w:val="005B1C2B"/>
    <w:rsid w:val="005B3487"/>
    <w:rsid w:val="005C2AFD"/>
    <w:rsid w:val="005D12C0"/>
    <w:rsid w:val="005E2BE6"/>
    <w:rsid w:val="005E7187"/>
    <w:rsid w:val="005F5210"/>
    <w:rsid w:val="005F7979"/>
    <w:rsid w:val="006022D5"/>
    <w:rsid w:val="00604142"/>
    <w:rsid w:val="00617780"/>
    <w:rsid w:val="0062211F"/>
    <w:rsid w:val="0063018C"/>
    <w:rsid w:val="00632FD8"/>
    <w:rsid w:val="00634CD7"/>
    <w:rsid w:val="00636391"/>
    <w:rsid w:val="00643298"/>
    <w:rsid w:val="00647DCF"/>
    <w:rsid w:val="006538D6"/>
    <w:rsid w:val="006574E1"/>
    <w:rsid w:val="0066275F"/>
    <w:rsid w:val="00664504"/>
    <w:rsid w:val="006656C0"/>
    <w:rsid w:val="00666F3B"/>
    <w:rsid w:val="00666F72"/>
    <w:rsid w:val="00672112"/>
    <w:rsid w:val="006827EB"/>
    <w:rsid w:val="00682F8D"/>
    <w:rsid w:val="006937E0"/>
    <w:rsid w:val="006953CC"/>
    <w:rsid w:val="006A1469"/>
    <w:rsid w:val="006A34AB"/>
    <w:rsid w:val="006B3E7F"/>
    <w:rsid w:val="006C212E"/>
    <w:rsid w:val="006C2B41"/>
    <w:rsid w:val="006C3D92"/>
    <w:rsid w:val="006D64AE"/>
    <w:rsid w:val="006E20A2"/>
    <w:rsid w:val="006E7B82"/>
    <w:rsid w:val="006F3790"/>
    <w:rsid w:val="006F3B36"/>
    <w:rsid w:val="006F51D2"/>
    <w:rsid w:val="006F5517"/>
    <w:rsid w:val="0070014B"/>
    <w:rsid w:val="00716778"/>
    <w:rsid w:val="007272AA"/>
    <w:rsid w:val="0073593F"/>
    <w:rsid w:val="0074337F"/>
    <w:rsid w:val="00745B63"/>
    <w:rsid w:val="00754238"/>
    <w:rsid w:val="00762D2E"/>
    <w:rsid w:val="00772CDC"/>
    <w:rsid w:val="00777B7B"/>
    <w:rsid w:val="007812DA"/>
    <w:rsid w:val="00782A6D"/>
    <w:rsid w:val="00784C56"/>
    <w:rsid w:val="007B4E1E"/>
    <w:rsid w:val="007C1740"/>
    <w:rsid w:val="007C4A2F"/>
    <w:rsid w:val="007C5DC6"/>
    <w:rsid w:val="007D3E34"/>
    <w:rsid w:val="007E0F23"/>
    <w:rsid w:val="007E1300"/>
    <w:rsid w:val="007E3F59"/>
    <w:rsid w:val="007F461B"/>
    <w:rsid w:val="007F501E"/>
    <w:rsid w:val="00802842"/>
    <w:rsid w:val="00812D69"/>
    <w:rsid w:val="008312E4"/>
    <w:rsid w:val="008317F4"/>
    <w:rsid w:val="00836BE0"/>
    <w:rsid w:val="00837BD2"/>
    <w:rsid w:val="00841EF5"/>
    <w:rsid w:val="008524EA"/>
    <w:rsid w:val="00853201"/>
    <w:rsid w:val="008654C6"/>
    <w:rsid w:val="008706EA"/>
    <w:rsid w:val="00870E66"/>
    <w:rsid w:val="00875313"/>
    <w:rsid w:val="00875416"/>
    <w:rsid w:val="00886FC5"/>
    <w:rsid w:val="008925FB"/>
    <w:rsid w:val="008A1764"/>
    <w:rsid w:val="008A4578"/>
    <w:rsid w:val="008D2B28"/>
    <w:rsid w:val="008D41E7"/>
    <w:rsid w:val="008F5C56"/>
    <w:rsid w:val="0090058F"/>
    <w:rsid w:val="0090200C"/>
    <w:rsid w:val="009047FA"/>
    <w:rsid w:val="009077D5"/>
    <w:rsid w:val="00914B41"/>
    <w:rsid w:val="00916459"/>
    <w:rsid w:val="00917698"/>
    <w:rsid w:val="00922527"/>
    <w:rsid w:val="009254DE"/>
    <w:rsid w:val="009319AF"/>
    <w:rsid w:val="0093400E"/>
    <w:rsid w:val="00935433"/>
    <w:rsid w:val="00937D3A"/>
    <w:rsid w:val="009454E7"/>
    <w:rsid w:val="009471A1"/>
    <w:rsid w:val="009545CA"/>
    <w:rsid w:val="009637C0"/>
    <w:rsid w:val="00967F35"/>
    <w:rsid w:val="00974E63"/>
    <w:rsid w:val="00984CBA"/>
    <w:rsid w:val="00986D15"/>
    <w:rsid w:val="009900F4"/>
    <w:rsid w:val="009A2CD4"/>
    <w:rsid w:val="009D169B"/>
    <w:rsid w:val="009D1D24"/>
    <w:rsid w:val="009D2B0B"/>
    <w:rsid w:val="009D42A2"/>
    <w:rsid w:val="009E2E02"/>
    <w:rsid w:val="009E626A"/>
    <w:rsid w:val="009F65DA"/>
    <w:rsid w:val="009F694D"/>
    <w:rsid w:val="00A000A1"/>
    <w:rsid w:val="00A028F5"/>
    <w:rsid w:val="00A02EDA"/>
    <w:rsid w:val="00A161DB"/>
    <w:rsid w:val="00A20529"/>
    <w:rsid w:val="00A25D61"/>
    <w:rsid w:val="00A34751"/>
    <w:rsid w:val="00A35F88"/>
    <w:rsid w:val="00A37039"/>
    <w:rsid w:val="00A4017D"/>
    <w:rsid w:val="00A42144"/>
    <w:rsid w:val="00A42FD6"/>
    <w:rsid w:val="00A51F3B"/>
    <w:rsid w:val="00A52895"/>
    <w:rsid w:val="00A638F8"/>
    <w:rsid w:val="00A6402B"/>
    <w:rsid w:val="00A6553C"/>
    <w:rsid w:val="00A819FD"/>
    <w:rsid w:val="00A832F0"/>
    <w:rsid w:val="00A91A10"/>
    <w:rsid w:val="00A92816"/>
    <w:rsid w:val="00A97643"/>
    <w:rsid w:val="00AA2DF5"/>
    <w:rsid w:val="00AB0542"/>
    <w:rsid w:val="00AB1D78"/>
    <w:rsid w:val="00AD0BF0"/>
    <w:rsid w:val="00AD6160"/>
    <w:rsid w:val="00AE0EDF"/>
    <w:rsid w:val="00AE49EF"/>
    <w:rsid w:val="00AE4D28"/>
    <w:rsid w:val="00AF64DA"/>
    <w:rsid w:val="00AF7A4E"/>
    <w:rsid w:val="00B23FE1"/>
    <w:rsid w:val="00B24D60"/>
    <w:rsid w:val="00B31F77"/>
    <w:rsid w:val="00B34AAB"/>
    <w:rsid w:val="00B3741F"/>
    <w:rsid w:val="00B42750"/>
    <w:rsid w:val="00B4523E"/>
    <w:rsid w:val="00B751A3"/>
    <w:rsid w:val="00B92729"/>
    <w:rsid w:val="00BA07D1"/>
    <w:rsid w:val="00BB306E"/>
    <w:rsid w:val="00BB4048"/>
    <w:rsid w:val="00BB4CC7"/>
    <w:rsid w:val="00BC51EE"/>
    <w:rsid w:val="00BD14C7"/>
    <w:rsid w:val="00BD6279"/>
    <w:rsid w:val="00BD64BA"/>
    <w:rsid w:val="00BE45CD"/>
    <w:rsid w:val="00BE710F"/>
    <w:rsid w:val="00BF319C"/>
    <w:rsid w:val="00BF370E"/>
    <w:rsid w:val="00BF37BD"/>
    <w:rsid w:val="00C06FF1"/>
    <w:rsid w:val="00C12828"/>
    <w:rsid w:val="00C1686D"/>
    <w:rsid w:val="00C21E79"/>
    <w:rsid w:val="00C3007C"/>
    <w:rsid w:val="00C34C82"/>
    <w:rsid w:val="00C4368C"/>
    <w:rsid w:val="00C5201C"/>
    <w:rsid w:val="00C55C94"/>
    <w:rsid w:val="00C56A49"/>
    <w:rsid w:val="00C606D2"/>
    <w:rsid w:val="00C60973"/>
    <w:rsid w:val="00C67A09"/>
    <w:rsid w:val="00C7352B"/>
    <w:rsid w:val="00C776A3"/>
    <w:rsid w:val="00C82A76"/>
    <w:rsid w:val="00C90AFE"/>
    <w:rsid w:val="00C949D3"/>
    <w:rsid w:val="00CA3E18"/>
    <w:rsid w:val="00CA7B19"/>
    <w:rsid w:val="00CB1E8C"/>
    <w:rsid w:val="00CB42EA"/>
    <w:rsid w:val="00CB459E"/>
    <w:rsid w:val="00CC43D4"/>
    <w:rsid w:val="00CC701D"/>
    <w:rsid w:val="00CD5C49"/>
    <w:rsid w:val="00CD5CE7"/>
    <w:rsid w:val="00CE1C27"/>
    <w:rsid w:val="00CE39E9"/>
    <w:rsid w:val="00CF749F"/>
    <w:rsid w:val="00D00B81"/>
    <w:rsid w:val="00D053AB"/>
    <w:rsid w:val="00D070BC"/>
    <w:rsid w:val="00D07467"/>
    <w:rsid w:val="00D26860"/>
    <w:rsid w:val="00D26941"/>
    <w:rsid w:val="00D34A59"/>
    <w:rsid w:val="00D62A22"/>
    <w:rsid w:val="00D715BD"/>
    <w:rsid w:val="00D75CFE"/>
    <w:rsid w:val="00D75D00"/>
    <w:rsid w:val="00D815E0"/>
    <w:rsid w:val="00D8235C"/>
    <w:rsid w:val="00D831DA"/>
    <w:rsid w:val="00D859D7"/>
    <w:rsid w:val="00DA4615"/>
    <w:rsid w:val="00DC5269"/>
    <w:rsid w:val="00DD3BA0"/>
    <w:rsid w:val="00DE131D"/>
    <w:rsid w:val="00DE2D81"/>
    <w:rsid w:val="00DE6EEE"/>
    <w:rsid w:val="00DF46E0"/>
    <w:rsid w:val="00E1168B"/>
    <w:rsid w:val="00E23861"/>
    <w:rsid w:val="00E27325"/>
    <w:rsid w:val="00E274A2"/>
    <w:rsid w:val="00E37720"/>
    <w:rsid w:val="00E378A1"/>
    <w:rsid w:val="00E407E3"/>
    <w:rsid w:val="00E43295"/>
    <w:rsid w:val="00E459A9"/>
    <w:rsid w:val="00E4627E"/>
    <w:rsid w:val="00E55354"/>
    <w:rsid w:val="00E55C1E"/>
    <w:rsid w:val="00E56C23"/>
    <w:rsid w:val="00E655D9"/>
    <w:rsid w:val="00E6682C"/>
    <w:rsid w:val="00E708A8"/>
    <w:rsid w:val="00E70F7D"/>
    <w:rsid w:val="00E86547"/>
    <w:rsid w:val="00E92E72"/>
    <w:rsid w:val="00E94AFF"/>
    <w:rsid w:val="00E96129"/>
    <w:rsid w:val="00EA5127"/>
    <w:rsid w:val="00EC2438"/>
    <w:rsid w:val="00ED3879"/>
    <w:rsid w:val="00ED42BA"/>
    <w:rsid w:val="00ED5D36"/>
    <w:rsid w:val="00EF00CF"/>
    <w:rsid w:val="00F00246"/>
    <w:rsid w:val="00F06298"/>
    <w:rsid w:val="00F12656"/>
    <w:rsid w:val="00F1323E"/>
    <w:rsid w:val="00F2401A"/>
    <w:rsid w:val="00F34BC2"/>
    <w:rsid w:val="00F35FFE"/>
    <w:rsid w:val="00F4378D"/>
    <w:rsid w:val="00F55B74"/>
    <w:rsid w:val="00F56146"/>
    <w:rsid w:val="00F62A14"/>
    <w:rsid w:val="00F666D9"/>
    <w:rsid w:val="00F71EFB"/>
    <w:rsid w:val="00F72CE0"/>
    <w:rsid w:val="00F76EC4"/>
    <w:rsid w:val="00F832FB"/>
    <w:rsid w:val="00F93A3A"/>
    <w:rsid w:val="00FA2E2C"/>
    <w:rsid w:val="00FA4A5D"/>
    <w:rsid w:val="00FB185E"/>
    <w:rsid w:val="00FB41EF"/>
    <w:rsid w:val="00FC5F0F"/>
    <w:rsid w:val="00FC63C9"/>
    <w:rsid w:val="00FC7998"/>
    <w:rsid w:val="00FD4514"/>
    <w:rsid w:val="00FD6C1F"/>
    <w:rsid w:val="00FF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F404"/>
  <w15:chartTrackingRefBased/>
  <w15:docId w15:val="{3B1B0803-F363-4098-8359-E8D404B7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28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31F"/>
    <w:pPr>
      <w:keepNext/>
      <w:keepLines/>
      <w:spacing w:before="320" w:after="240"/>
      <w:outlineLvl w:val="1"/>
    </w:pPr>
    <w:rPr>
      <w:rFonts w:asciiTheme="majorHAnsi" w:eastAsiaTheme="majorEastAsia" w:hAnsiTheme="majorHAnsi" w:cstheme="majorBidi"/>
      <w:b/>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9AF"/>
    <w:pPr>
      <w:ind w:left="720"/>
      <w:contextualSpacing/>
    </w:pPr>
  </w:style>
  <w:style w:type="table" w:styleId="TableGrid">
    <w:name w:val="Table Grid"/>
    <w:basedOn w:val="TableNormal"/>
    <w:uiPriority w:val="39"/>
    <w:rsid w:val="004E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A34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47B"/>
    <w:rPr>
      <w:sz w:val="20"/>
      <w:szCs w:val="20"/>
    </w:rPr>
  </w:style>
  <w:style w:type="character" w:styleId="FootnoteReference">
    <w:name w:val="footnote reference"/>
    <w:basedOn w:val="DefaultParagraphFont"/>
    <w:uiPriority w:val="99"/>
    <w:semiHidden/>
    <w:unhideWhenUsed/>
    <w:rsid w:val="003A347B"/>
    <w:rPr>
      <w:vertAlign w:val="superscript"/>
    </w:rPr>
  </w:style>
  <w:style w:type="character" w:customStyle="1" w:styleId="Heading2Char">
    <w:name w:val="Heading 2 Char"/>
    <w:basedOn w:val="DefaultParagraphFont"/>
    <w:link w:val="Heading2"/>
    <w:uiPriority w:val="9"/>
    <w:rsid w:val="000F331F"/>
    <w:rPr>
      <w:rFonts w:asciiTheme="majorHAnsi" w:eastAsiaTheme="majorEastAsia" w:hAnsiTheme="majorHAnsi" w:cstheme="majorBidi"/>
      <w:b/>
      <w:color w:val="2F5496" w:themeColor="accent1" w:themeShade="BF"/>
      <w:sz w:val="26"/>
      <w:szCs w:val="26"/>
      <w:lang w:val="en-US"/>
    </w:rPr>
  </w:style>
  <w:style w:type="character" w:customStyle="1" w:styleId="Heading1Char">
    <w:name w:val="Heading 1 Char"/>
    <w:basedOn w:val="DefaultParagraphFont"/>
    <w:link w:val="Heading1"/>
    <w:uiPriority w:val="9"/>
    <w:rsid w:val="004028D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F0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9D6"/>
  </w:style>
  <w:style w:type="paragraph" w:styleId="Footer">
    <w:name w:val="footer"/>
    <w:basedOn w:val="Normal"/>
    <w:link w:val="FooterChar"/>
    <w:uiPriority w:val="99"/>
    <w:unhideWhenUsed/>
    <w:rsid w:val="002F0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9D6"/>
  </w:style>
  <w:style w:type="character" w:styleId="PageNumber">
    <w:name w:val="page number"/>
    <w:basedOn w:val="DefaultParagraphFont"/>
    <w:uiPriority w:val="99"/>
    <w:semiHidden/>
    <w:unhideWhenUsed/>
    <w:rsid w:val="00A2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BF2EF-056B-47FC-BD90-CBFE817C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2811</Words>
  <Characters>16028</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Jamere McIntosh</dc:creator>
  <cp:keywords/>
  <dc:description/>
  <cp:lastModifiedBy>Kenyetta T Dean</cp:lastModifiedBy>
  <cp:revision>2</cp:revision>
  <dcterms:created xsi:type="dcterms:W3CDTF">2019-10-24T19:03:00Z</dcterms:created>
  <dcterms:modified xsi:type="dcterms:W3CDTF">2019-10-24T19:03:00Z</dcterms:modified>
</cp:coreProperties>
</file>